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C4" w:rsidRDefault="000350C4" w:rsidP="000350C4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479E2EF7" wp14:editId="1A7C94FF">
            <wp:extent cx="1409700" cy="1581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35" w:rsidRPr="00837120" w:rsidRDefault="00397CF8" w:rsidP="00837120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  <w:lang w:val="uk-UA"/>
        </w:rPr>
      </w:pPr>
      <w:r w:rsidRPr="00837120">
        <w:rPr>
          <w:rFonts w:asciiTheme="majorHAnsi" w:hAnsiTheme="majorHAnsi" w:cstheme="majorHAnsi"/>
          <w:b/>
          <w:sz w:val="32"/>
          <w:szCs w:val="32"/>
        </w:rPr>
        <w:t>U</w:t>
      </w:r>
      <w:r w:rsidRPr="00837120">
        <w:rPr>
          <w:rFonts w:asciiTheme="majorHAnsi" w:hAnsiTheme="majorHAnsi" w:cstheme="majorHAnsi"/>
          <w:b/>
          <w:sz w:val="32"/>
          <w:szCs w:val="32"/>
          <w:lang w:val="ru-RU"/>
        </w:rPr>
        <w:t xml:space="preserve">-11 </w:t>
      </w:r>
      <w:r w:rsidRPr="00837120">
        <w:rPr>
          <w:rFonts w:asciiTheme="majorHAnsi" w:hAnsiTheme="majorHAnsi" w:cstheme="majorHAnsi"/>
          <w:b/>
          <w:sz w:val="32"/>
          <w:szCs w:val="32"/>
          <w:lang w:val="uk-UA"/>
        </w:rPr>
        <w:t>Тест</w:t>
      </w:r>
      <w:r w:rsidR="00FF4EE9" w:rsidRPr="00837120">
        <w:rPr>
          <w:rFonts w:asciiTheme="majorHAnsi" w:hAnsiTheme="majorHAnsi" w:cstheme="majorHAnsi"/>
          <w:b/>
          <w:sz w:val="32"/>
          <w:szCs w:val="32"/>
          <w:lang w:val="uk-UA"/>
        </w:rPr>
        <w:t xml:space="preserve">ові </w:t>
      </w:r>
      <w:r w:rsidRPr="00837120">
        <w:rPr>
          <w:rFonts w:asciiTheme="majorHAnsi" w:hAnsiTheme="majorHAnsi" w:cstheme="majorHAnsi"/>
          <w:b/>
          <w:sz w:val="32"/>
          <w:szCs w:val="32"/>
          <w:lang w:val="uk-UA"/>
        </w:rPr>
        <w:t>смужки для аналізу сечі</w:t>
      </w:r>
    </w:p>
    <w:p w:rsidR="00397CF8" w:rsidRPr="00837120" w:rsidRDefault="00397CF8" w:rsidP="00837120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  <w:lang w:val="uk-UA"/>
        </w:rPr>
      </w:pPr>
      <w:r w:rsidRPr="00837120">
        <w:rPr>
          <w:rFonts w:asciiTheme="majorHAnsi" w:hAnsiTheme="majorHAnsi" w:cstheme="majorHAnsi"/>
          <w:b/>
          <w:sz w:val="32"/>
          <w:szCs w:val="32"/>
          <w:lang w:val="uk-UA"/>
        </w:rPr>
        <w:t>(Сеча)</w:t>
      </w:r>
    </w:p>
    <w:p w:rsidR="00397CF8" w:rsidRPr="00837120" w:rsidRDefault="00397CF8" w:rsidP="00837120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  <w:lang w:val="uk-UA"/>
        </w:rPr>
      </w:pPr>
      <w:r w:rsidRPr="00837120">
        <w:rPr>
          <w:rFonts w:asciiTheme="majorHAnsi" w:hAnsiTheme="majorHAnsi" w:cstheme="majorHAnsi"/>
          <w:b/>
          <w:sz w:val="32"/>
          <w:szCs w:val="32"/>
          <w:lang w:val="uk-UA"/>
        </w:rPr>
        <w:t>Специфікація</w:t>
      </w:r>
    </w:p>
    <w:p w:rsidR="00397CF8" w:rsidRPr="00837120" w:rsidRDefault="00E85775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Для експрес – визначення аналітів у сечі людини. </w:t>
      </w:r>
    </w:p>
    <w:p w:rsidR="00E85775" w:rsidRPr="00837120" w:rsidRDefault="00E85775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Лише для </w:t>
      </w:r>
      <w:r w:rsidRPr="00837120">
        <w:t>in</w:t>
      </w:r>
      <w:r w:rsidRPr="00837120">
        <w:rPr>
          <w:lang w:val="ru-RU"/>
        </w:rPr>
        <w:t xml:space="preserve"> </w:t>
      </w:r>
      <w:r w:rsidRPr="00837120">
        <w:t>vitro</w:t>
      </w:r>
      <w:r w:rsidRPr="00837120">
        <w:rPr>
          <w:lang w:val="ru-RU"/>
        </w:rPr>
        <w:t xml:space="preserve"> </w:t>
      </w:r>
      <w:r w:rsidRPr="00837120">
        <w:rPr>
          <w:lang w:val="uk-UA"/>
        </w:rPr>
        <w:t xml:space="preserve">діагностики. </w:t>
      </w:r>
    </w:p>
    <w:p w:rsidR="006367C5" w:rsidRPr="00837120" w:rsidRDefault="00475A8A" w:rsidP="00837120">
      <w:pPr>
        <w:spacing w:line="276" w:lineRule="auto"/>
        <w:rPr>
          <w:b/>
          <w:lang w:val="uk-UA"/>
        </w:rPr>
      </w:pPr>
      <w:r w:rsidRPr="00837120">
        <w:rPr>
          <w:b/>
          <w:lang w:val="uk-UA"/>
        </w:rPr>
        <w:t>ПРИЗНАЧЕННЯ</w:t>
      </w:r>
      <w:r w:rsidR="00E85775" w:rsidRPr="00837120">
        <w:rPr>
          <w:b/>
          <w:lang w:val="uk-UA"/>
        </w:rPr>
        <w:t xml:space="preserve"> </w:t>
      </w:r>
    </w:p>
    <w:p w:rsidR="00E85775" w:rsidRPr="00837120" w:rsidRDefault="00E85775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>Тест</w:t>
      </w:r>
      <w:r w:rsidR="00FF4EE9" w:rsidRPr="00837120">
        <w:rPr>
          <w:lang w:val="uk-UA"/>
        </w:rPr>
        <w:t>ові</w:t>
      </w:r>
      <w:r w:rsidRPr="00837120">
        <w:rPr>
          <w:lang w:val="uk-UA"/>
        </w:rPr>
        <w:t xml:space="preserve"> смужки для аналізу сечі являють собою тверді пластикові смужки на які нанесено кілька відокремлених реакційних зон. Ці тестові смужки призначені для виявлення одного або кількох аналітів у сечі</w:t>
      </w:r>
      <w:r w:rsidR="00065C01" w:rsidRPr="00837120">
        <w:rPr>
          <w:lang w:val="uk-UA"/>
        </w:rPr>
        <w:t>, таких, як</w:t>
      </w:r>
      <w:r w:rsidRPr="00837120">
        <w:rPr>
          <w:lang w:val="uk-UA"/>
        </w:rPr>
        <w:t xml:space="preserve">: Аскорбінова кислота, Глюкоза, Білірубін, </w:t>
      </w:r>
      <w:r w:rsidR="00FF4EE9" w:rsidRPr="00837120">
        <w:rPr>
          <w:lang w:val="uk-UA"/>
        </w:rPr>
        <w:t xml:space="preserve">Кетони (Ацетооцтова кислота), Питома Вага, Кров, </w:t>
      </w:r>
      <w:proofErr w:type="spellStart"/>
      <w:r w:rsidR="00FF4EE9" w:rsidRPr="00837120">
        <w:rPr>
          <w:lang w:val="uk-UA"/>
        </w:rPr>
        <w:t>рН</w:t>
      </w:r>
      <w:proofErr w:type="spellEnd"/>
      <w:r w:rsidR="00FF4EE9" w:rsidRPr="00837120">
        <w:rPr>
          <w:lang w:val="uk-UA"/>
        </w:rPr>
        <w:t xml:space="preserve">, Білок, </w:t>
      </w:r>
      <w:proofErr w:type="spellStart"/>
      <w:r w:rsidR="00FF4EE9" w:rsidRPr="00837120">
        <w:rPr>
          <w:lang w:val="uk-UA"/>
        </w:rPr>
        <w:t>Уробіліноген</w:t>
      </w:r>
      <w:proofErr w:type="spellEnd"/>
      <w:r w:rsidR="00FF4EE9" w:rsidRPr="00837120">
        <w:rPr>
          <w:lang w:val="uk-UA"/>
        </w:rPr>
        <w:t xml:space="preserve">, Нітрити та Лейкоцити. </w:t>
      </w:r>
    </w:p>
    <w:p w:rsidR="00A95EDF" w:rsidRPr="00837120" w:rsidRDefault="00475A8A" w:rsidP="00837120">
      <w:pPr>
        <w:spacing w:line="276" w:lineRule="auto"/>
        <w:rPr>
          <w:b/>
          <w:lang w:val="uk-UA"/>
        </w:rPr>
      </w:pPr>
      <w:r w:rsidRPr="00837120">
        <w:rPr>
          <w:b/>
          <w:lang w:val="uk-UA"/>
        </w:rPr>
        <w:t>С</w:t>
      </w:r>
      <w:r w:rsidR="00FF4EE9" w:rsidRPr="00837120">
        <w:rPr>
          <w:b/>
          <w:lang w:val="uk-UA"/>
        </w:rPr>
        <w:t>ТИСЛИЙ ОГЛЯД</w:t>
      </w:r>
    </w:p>
    <w:p w:rsidR="00FF4EE9" w:rsidRPr="00837120" w:rsidRDefault="00F846CC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>Під час захворювання або дисфункції тіла сеча люд</w:t>
      </w:r>
      <w:r w:rsidR="00A95EDF" w:rsidRPr="00837120">
        <w:rPr>
          <w:lang w:val="uk-UA"/>
        </w:rPr>
        <w:t>ини зазнає суттєвих</w:t>
      </w:r>
      <w:r w:rsidRPr="00837120">
        <w:rPr>
          <w:lang w:val="uk-UA"/>
        </w:rPr>
        <w:t xml:space="preserve"> змін </w:t>
      </w:r>
      <w:r w:rsidR="00A95EDF" w:rsidRPr="00837120">
        <w:rPr>
          <w:lang w:val="uk-UA"/>
        </w:rPr>
        <w:t>раніше,</w:t>
      </w:r>
      <w:r w:rsidRPr="00837120">
        <w:rPr>
          <w:lang w:val="uk-UA"/>
        </w:rPr>
        <w:t xml:space="preserve"> ніж </w:t>
      </w:r>
      <w:r w:rsidR="00A95EDF" w:rsidRPr="00837120">
        <w:rPr>
          <w:lang w:val="uk-UA"/>
        </w:rPr>
        <w:t xml:space="preserve">відбуваються зміни у </w:t>
      </w:r>
      <w:r w:rsidRPr="00837120">
        <w:rPr>
          <w:lang w:val="uk-UA"/>
        </w:rPr>
        <w:t>склад</w:t>
      </w:r>
      <w:r w:rsidR="00A95EDF" w:rsidRPr="00837120">
        <w:rPr>
          <w:lang w:val="uk-UA"/>
        </w:rPr>
        <w:t>і крові</w:t>
      </w:r>
      <w:r w:rsidRPr="00837120">
        <w:rPr>
          <w:lang w:val="uk-UA"/>
        </w:rPr>
        <w:t xml:space="preserve">. Аналіз сечі </w:t>
      </w:r>
      <w:r w:rsidR="00A95EDF" w:rsidRPr="00837120">
        <w:rPr>
          <w:lang w:val="uk-UA"/>
        </w:rPr>
        <w:t xml:space="preserve">є процедурою, </w:t>
      </w:r>
      <w:r w:rsidR="008C3EC0" w:rsidRPr="00837120">
        <w:rPr>
          <w:lang w:val="uk-UA"/>
        </w:rPr>
        <w:t>що використовується</w:t>
      </w:r>
      <w:r w:rsidRPr="00837120">
        <w:rPr>
          <w:lang w:val="uk-UA"/>
        </w:rPr>
        <w:t xml:space="preserve"> як індикатор здоров’я чи хвороби</w:t>
      </w:r>
      <w:r w:rsidR="008C3EC0" w:rsidRPr="00837120">
        <w:rPr>
          <w:lang w:val="uk-UA"/>
        </w:rPr>
        <w:t xml:space="preserve"> людини</w:t>
      </w:r>
      <w:r w:rsidRPr="00837120">
        <w:rPr>
          <w:lang w:val="uk-UA"/>
        </w:rPr>
        <w:t xml:space="preserve">, а також </w:t>
      </w:r>
      <w:r w:rsidR="008C3EC0" w:rsidRPr="00837120">
        <w:rPr>
          <w:lang w:val="uk-UA"/>
        </w:rPr>
        <w:t xml:space="preserve">є </w:t>
      </w:r>
      <w:r w:rsidRPr="00837120">
        <w:rPr>
          <w:lang w:val="uk-UA"/>
        </w:rPr>
        <w:t xml:space="preserve">частиною планової перевірки здоров’я. </w:t>
      </w:r>
      <w:r w:rsidR="00A95EDF" w:rsidRPr="00837120">
        <w:rPr>
          <w:lang w:val="uk-UA"/>
        </w:rPr>
        <w:t>Тестові смужки для аналізу сечі (Сеча) можна використовувати для загальної оцінки здоров’я, а також, як допоміжний засіб під час діагностики та моніторингу метаболічних або системних захворювань, які впливають на функцію нирок, ендокринні розлади та захворювання або порушення сечовивідних шляхів.</w:t>
      </w:r>
    </w:p>
    <w:p w:rsidR="00475A8A" w:rsidRPr="00837120" w:rsidRDefault="006A46EC" w:rsidP="00837120">
      <w:pPr>
        <w:spacing w:line="276" w:lineRule="auto"/>
        <w:rPr>
          <w:b/>
          <w:lang w:val="uk-UA"/>
        </w:rPr>
      </w:pPr>
      <w:r w:rsidRPr="00837120">
        <w:rPr>
          <w:b/>
          <w:lang w:val="uk-UA"/>
        </w:rPr>
        <w:t>ПРИНЦИ</w:t>
      </w:r>
      <w:r w:rsidR="00155AD0" w:rsidRPr="00837120">
        <w:rPr>
          <w:b/>
          <w:lang w:val="uk-UA"/>
        </w:rPr>
        <w:t>ПИ ВИМІРЮВАННЯ ТА ОЧІКУВАНІ ЗНАЧЕН</w:t>
      </w:r>
      <w:r w:rsidR="00837120" w:rsidRPr="00837120">
        <w:rPr>
          <w:b/>
          <w:lang w:val="uk-UA"/>
        </w:rPr>
        <w:t>Н</w:t>
      </w:r>
      <w:r w:rsidR="00155AD0" w:rsidRPr="00837120">
        <w:rPr>
          <w:b/>
          <w:lang w:val="uk-UA"/>
        </w:rPr>
        <w:t>Я</w:t>
      </w:r>
    </w:p>
    <w:p w:rsidR="000E6F5C" w:rsidRPr="00837120" w:rsidRDefault="000E6F5C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Аскорбінова кислота:</w:t>
      </w:r>
      <w:r w:rsidRPr="00837120">
        <w:rPr>
          <w:lang w:val="uk-UA"/>
        </w:rPr>
        <w:t xml:space="preserve"> </w:t>
      </w:r>
      <w:r w:rsidR="00515740" w:rsidRPr="00837120">
        <w:rPr>
          <w:lang w:val="uk-UA"/>
        </w:rPr>
        <w:t>Це випробування</w:t>
      </w:r>
      <w:r w:rsidR="00086064" w:rsidRPr="00837120">
        <w:rPr>
          <w:lang w:val="uk-UA"/>
        </w:rPr>
        <w:t xml:space="preserve"> базується на реакції о</w:t>
      </w:r>
      <w:r w:rsidRPr="00837120">
        <w:rPr>
          <w:lang w:val="uk-UA"/>
        </w:rPr>
        <w:t xml:space="preserve">безбарвлення реагенту </w:t>
      </w:r>
      <w:proofErr w:type="spellStart"/>
      <w:r w:rsidRPr="00837120">
        <w:rPr>
          <w:lang w:val="uk-UA"/>
        </w:rPr>
        <w:t>Тиллмана</w:t>
      </w:r>
      <w:proofErr w:type="spellEnd"/>
      <w:r w:rsidRPr="00837120">
        <w:rPr>
          <w:lang w:val="uk-UA"/>
        </w:rPr>
        <w:t xml:space="preserve">. За наявності аскорбінової кислоти відбувається зміна </w:t>
      </w:r>
      <w:r w:rsidR="00806F28" w:rsidRPr="00837120">
        <w:rPr>
          <w:lang w:val="uk-UA"/>
        </w:rPr>
        <w:t>забар</w:t>
      </w:r>
      <w:r w:rsidR="00086064" w:rsidRPr="00837120">
        <w:rPr>
          <w:lang w:val="uk-UA"/>
        </w:rPr>
        <w:t>влення у тестовій зоні від зелено - блакитного</w:t>
      </w:r>
      <w:r w:rsidR="00806F28" w:rsidRPr="00837120">
        <w:rPr>
          <w:lang w:val="uk-UA"/>
        </w:rPr>
        <w:t xml:space="preserve"> кольору до помаранчевого. </w:t>
      </w:r>
    </w:p>
    <w:p w:rsidR="00086064" w:rsidRPr="00837120" w:rsidRDefault="00086064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Глюкоза:</w:t>
      </w:r>
      <w:r w:rsidRPr="00837120">
        <w:rPr>
          <w:lang w:val="uk-UA"/>
        </w:rPr>
        <w:t xml:space="preserve"> </w:t>
      </w:r>
      <w:r w:rsidR="00515740" w:rsidRPr="00837120">
        <w:rPr>
          <w:lang w:val="uk-UA"/>
        </w:rPr>
        <w:t>Це випробування</w:t>
      </w:r>
      <w:r w:rsidRPr="00837120">
        <w:rPr>
          <w:lang w:val="uk-UA"/>
        </w:rPr>
        <w:t xml:space="preserve"> базується на ферментативній реакції, яка відбувається між глюкозооксидазою</w:t>
      </w:r>
      <w:r w:rsidR="00155AD0" w:rsidRPr="00837120">
        <w:rPr>
          <w:lang w:val="uk-UA"/>
        </w:rPr>
        <w:t>, пероксидазою та хромогеном. Г</w:t>
      </w:r>
      <w:r w:rsidRPr="00837120">
        <w:rPr>
          <w:lang w:val="uk-UA"/>
        </w:rPr>
        <w:t>люкоза</w:t>
      </w:r>
      <w:r w:rsidR="009A6265" w:rsidRPr="00837120">
        <w:rPr>
          <w:lang w:val="uk-UA"/>
        </w:rPr>
        <w:t xml:space="preserve">, в присутності глюкозооксидази, </w:t>
      </w:r>
      <w:r w:rsidRPr="00837120">
        <w:rPr>
          <w:lang w:val="uk-UA"/>
        </w:rPr>
        <w:t>окислюється з утворенням глюконо</w:t>
      </w:r>
      <w:r w:rsidR="009A6265" w:rsidRPr="00837120">
        <w:rPr>
          <w:lang w:val="uk-UA"/>
        </w:rPr>
        <w:t xml:space="preserve">вої кислоти та перекису водню. Перекис водню, в присутності перексидази, реагує з йодидом калію. Ступінь окислення хромогену, що утворюється, визначається зміною забарвлення від зеленого кольору до коричневого. Невелика кількість </w:t>
      </w:r>
      <w:r w:rsidR="009A6265" w:rsidRPr="00837120">
        <w:rPr>
          <w:lang w:val="uk-UA"/>
        </w:rPr>
        <w:lastRenderedPageBreak/>
        <w:t>глюкози зазвичай виділяється із сечею. Концентрації глюкози нижче за 100 мг/</w:t>
      </w:r>
      <w:proofErr w:type="spellStart"/>
      <w:r w:rsidR="009A6265" w:rsidRPr="00837120">
        <w:rPr>
          <w:lang w:val="uk-UA"/>
        </w:rPr>
        <w:t>дЛ</w:t>
      </w:r>
      <w:proofErr w:type="spellEnd"/>
      <w:r w:rsidR="0099250C" w:rsidRPr="00837120">
        <w:rPr>
          <w:lang w:val="uk-UA"/>
        </w:rPr>
        <w:t>, що визначають через</w:t>
      </w:r>
      <w:r w:rsidR="009A6265" w:rsidRPr="00837120">
        <w:rPr>
          <w:lang w:val="uk-UA"/>
        </w:rPr>
        <w:t xml:space="preserve"> 10 або 30 секунд</w:t>
      </w:r>
      <w:r w:rsidR="0099250C" w:rsidRPr="00837120">
        <w:rPr>
          <w:lang w:val="uk-UA"/>
        </w:rPr>
        <w:t xml:space="preserve">, можуть вважатися ненормальними, якщо результати є послідовними. Через </w:t>
      </w:r>
      <w:r w:rsidR="002F59EF" w:rsidRPr="00837120">
        <w:rPr>
          <w:lang w:val="uk-UA"/>
        </w:rPr>
        <w:t xml:space="preserve">10 секунд результати можуть бути </w:t>
      </w:r>
      <w:r w:rsidR="0099250C" w:rsidRPr="00837120">
        <w:rPr>
          <w:lang w:val="uk-UA"/>
        </w:rPr>
        <w:t>інтерпретовані якісно. Для отримання</w:t>
      </w:r>
      <w:r w:rsidR="002F59EF" w:rsidRPr="00837120">
        <w:rPr>
          <w:lang w:val="uk-UA"/>
        </w:rPr>
        <w:t xml:space="preserve"> кількісних </w:t>
      </w:r>
      <w:r w:rsidR="0099250C" w:rsidRPr="00837120">
        <w:rPr>
          <w:lang w:val="uk-UA"/>
        </w:rPr>
        <w:t>результатів</w:t>
      </w:r>
      <w:r w:rsidR="008C6A52" w:rsidRPr="00837120">
        <w:rPr>
          <w:lang w:val="uk-UA"/>
        </w:rPr>
        <w:t xml:space="preserve">, тест інтерпретують лише через 30 секунд. </w:t>
      </w:r>
    </w:p>
    <w:p w:rsidR="008C6A52" w:rsidRPr="00837120" w:rsidRDefault="008C6A52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Білірубін:</w:t>
      </w:r>
      <w:r w:rsidRPr="00837120">
        <w:rPr>
          <w:lang w:val="uk-UA"/>
        </w:rPr>
        <w:t xml:space="preserve"> </w:t>
      </w:r>
      <w:r w:rsidR="001B2A6D" w:rsidRPr="00837120">
        <w:rPr>
          <w:lang w:val="uk-UA"/>
        </w:rPr>
        <w:t>Це випробування</w:t>
      </w:r>
      <w:r w:rsidRPr="00837120">
        <w:rPr>
          <w:lang w:val="uk-UA"/>
        </w:rPr>
        <w:t xml:space="preserve"> базується на реакції </w:t>
      </w:r>
      <w:proofErr w:type="spellStart"/>
      <w:r w:rsidR="001B2A6D" w:rsidRPr="00837120">
        <w:rPr>
          <w:lang w:val="uk-UA"/>
        </w:rPr>
        <w:t>азо</w:t>
      </w:r>
      <w:proofErr w:type="spellEnd"/>
      <w:r w:rsidR="001B2A6D" w:rsidRPr="00837120">
        <w:rPr>
          <w:lang w:val="uk-UA"/>
        </w:rPr>
        <w:t>-</w:t>
      </w:r>
      <w:r w:rsidRPr="00837120">
        <w:rPr>
          <w:lang w:val="uk-UA"/>
        </w:rPr>
        <w:t xml:space="preserve">зв’язування білірубіну з </w:t>
      </w:r>
      <w:proofErr w:type="spellStart"/>
      <w:r w:rsidRPr="00837120">
        <w:rPr>
          <w:lang w:val="uk-UA"/>
        </w:rPr>
        <w:t>діазотованим</w:t>
      </w:r>
      <w:proofErr w:type="spellEnd"/>
      <w:r w:rsidRPr="00837120">
        <w:rPr>
          <w:lang w:val="uk-UA"/>
        </w:rPr>
        <w:t xml:space="preserve"> діхлораніліном у сильно кислому середовищі. </w:t>
      </w:r>
      <w:r w:rsidR="006756DD" w:rsidRPr="00837120">
        <w:rPr>
          <w:lang w:val="uk-UA"/>
        </w:rPr>
        <w:t>Інтенсивність забарвлення рожево – коричневого кольору пропорційна концентрації білірубіну. Зазвичай, білірубін у сечі не виявляється навіть найчутливішими методами. Навіть сліди білірубіну вимагають подальшого дослідж</w:t>
      </w:r>
      <w:r w:rsidR="00077EBC" w:rsidRPr="00837120">
        <w:rPr>
          <w:lang w:val="uk-UA"/>
        </w:rPr>
        <w:t>ення. Атипові результати ( різноманіття  кольорів, від негативного до позитивного</w:t>
      </w:r>
      <w:r w:rsidR="006756DD" w:rsidRPr="00837120">
        <w:rPr>
          <w:lang w:val="uk-UA"/>
        </w:rPr>
        <w:t xml:space="preserve"> забарвлення, згідно з </w:t>
      </w:r>
      <w:r w:rsidR="00E94CF1" w:rsidRPr="00837120">
        <w:rPr>
          <w:lang w:val="uk-UA"/>
        </w:rPr>
        <w:t>наведеною кольоровою шкалою</w:t>
      </w:r>
      <w:r w:rsidR="00077EBC" w:rsidRPr="00837120">
        <w:rPr>
          <w:lang w:val="uk-UA"/>
        </w:rPr>
        <w:t xml:space="preserve">), можуть свідчити про наявність жовчних пігментів - похідних білірубіну у зразку сечі, які маскують реакцію білірубіну.   </w:t>
      </w:r>
    </w:p>
    <w:p w:rsidR="00077EBC" w:rsidRPr="00837120" w:rsidRDefault="00077EBC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Кетони:</w:t>
      </w:r>
      <w:r w:rsidRPr="00837120">
        <w:rPr>
          <w:lang w:val="uk-UA"/>
        </w:rPr>
        <w:t xml:space="preserve"> </w:t>
      </w:r>
      <w:r w:rsidR="001B2A6D" w:rsidRPr="00837120">
        <w:rPr>
          <w:lang w:val="uk-UA"/>
        </w:rPr>
        <w:t>Це випробування</w:t>
      </w:r>
      <w:r w:rsidRPr="00837120">
        <w:rPr>
          <w:lang w:val="uk-UA"/>
        </w:rPr>
        <w:t xml:space="preserve"> базується на взаємодії кетонів з нітропрусидом та ацетооцтовою кислотою зі зміною забарвлення від світло – рожевого кольору в разі негативного результату, до темно – рожевого або фіолетового в разі позитивного результату. Зазвичай, кетони відсутні у сечі. </w:t>
      </w:r>
      <w:r w:rsidR="00506AA7" w:rsidRPr="00837120">
        <w:rPr>
          <w:lang w:val="uk-UA"/>
        </w:rPr>
        <w:t>Виявлення кетонів у сечі можна спостерігати під час стресових ситуацій, таких як піст,</w:t>
      </w:r>
      <w:r w:rsidR="00ED40C3" w:rsidRPr="00837120">
        <w:rPr>
          <w:lang w:val="uk-UA"/>
        </w:rPr>
        <w:t xml:space="preserve"> вагітність або постійні інтенсивні</w:t>
      </w:r>
      <w:r w:rsidR="00506AA7" w:rsidRPr="00837120">
        <w:rPr>
          <w:lang w:val="uk-UA"/>
        </w:rPr>
        <w:t xml:space="preserve"> навантаження. Під час голодування або в інших аномальних ситуаціях, пов’язаних з обміном вуглеводів, кетони з’являються у сечі у надмірно високій концентрації раніше, ніж у сироватці крові.</w:t>
      </w:r>
    </w:p>
    <w:p w:rsidR="008C6A52" w:rsidRPr="00837120" w:rsidRDefault="00381B28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Питома Вага:</w:t>
      </w:r>
      <w:r w:rsidRPr="00837120">
        <w:rPr>
          <w:lang w:val="uk-UA"/>
        </w:rPr>
        <w:t xml:space="preserve"> </w:t>
      </w:r>
      <w:r w:rsidR="001B2A6D" w:rsidRPr="00837120">
        <w:rPr>
          <w:lang w:val="uk-UA"/>
        </w:rPr>
        <w:t>Це випробування</w:t>
      </w:r>
      <w:r w:rsidRPr="00837120">
        <w:rPr>
          <w:lang w:val="uk-UA"/>
        </w:rPr>
        <w:t xml:space="preserve"> базується на </w:t>
      </w:r>
      <w:r w:rsidR="00556068" w:rsidRPr="00837120">
        <w:rPr>
          <w:lang w:val="uk-UA"/>
        </w:rPr>
        <w:t xml:space="preserve">очевидній зміні </w:t>
      </w:r>
      <w:proofErr w:type="spellStart"/>
      <w:r w:rsidR="00556068" w:rsidRPr="00837120">
        <w:t>pK</w:t>
      </w:r>
      <w:proofErr w:type="spellEnd"/>
      <w:r w:rsidR="006A66E0" w:rsidRPr="00837120">
        <w:rPr>
          <w:lang w:val="uk-UA"/>
        </w:rPr>
        <w:t>а</w:t>
      </w:r>
      <w:r w:rsidR="00556068" w:rsidRPr="00837120">
        <w:rPr>
          <w:vertAlign w:val="subscript"/>
          <w:lang w:val="uk-UA"/>
        </w:rPr>
        <w:t xml:space="preserve"> </w:t>
      </w:r>
      <w:r w:rsidR="00556068" w:rsidRPr="00837120">
        <w:rPr>
          <w:lang w:val="uk-UA"/>
        </w:rPr>
        <w:t xml:space="preserve">деяких попередньо оброблених поліелектролітів відносно іонної концентрації. За наявності індикатора, кольори можуть змінюватися від глибокого синьо – зеленого кольору у сечі з низькою іонною концентрацією до зеленого чи жовто – зеленого у сечі з підвищеною  іонною концентрацією. </w:t>
      </w:r>
      <w:r w:rsidR="00A31A7B" w:rsidRPr="00837120">
        <w:rPr>
          <w:lang w:val="uk-UA"/>
        </w:rPr>
        <w:t xml:space="preserve">Питома вага у </w:t>
      </w:r>
      <w:r w:rsidR="006A66E0" w:rsidRPr="00837120">
        <w:rPr>
          <w:lang w:val="uk-UA"/>
        </w:rPr>
        <w:t xml:space="preserve">довільному </w:t>
      </w:r>
      <w:r w:rsidR="00A31A7B" w:rsidRPr="00837120">
        <w:rPr>
          <w:lang w:val="uk-UA"/>
        </w:rPr>
        <w:t>зразку сечі може змінюватися від 1,003 до 1,040. Добовий зразок сечі людини з нормальною дієтою та споживання</w:t>
      </w:r>
      <w:r w:rsidR="006A66E0" w:rsidRPr="00837120">
        <w:rPr>
          <w:lang w:val="uk-UA"/>
        </w:rPr>
        <w:t>м</w:t>
      </w:r>
      <w:r w:rsidR="00A31A7B" w:rsidRPr="00837120">
        <w:rPr>
          <w:lang w:val="uk-UA"/>
        </w:rPr>
        <w:t xml:space="preserve"> рідини матиме питому вагу 1,016 – 1,022. </w:t>
      </w:r>
      <w:r w:rsidR="006A66E0" w:rsidRPr="00837120">
        <w:rPr>
          <w:lang w:val="uk-UA"/>
        </w:rPr>
        <w:t xml:space="preserve">У випадках важкого ураження нирок, питома </w:t>
      </w:r>
      <w:r w:rsidR="00895CA7" w:rsidRPr="00837120">
        <w:rPr>
          <w:lang w:val="uk-UA"/>
        </w:rPr>
        <w:t xml:space="preserve">вага фіксується 1,010, внаслідок зниження </w:t>
      </w:r>
      <w:r w:rsidR="006A66E0" w:rsidRPr="00837120">
        <w:rPr>
          <w:lang w:val="uk-UA"/>
        </w:rPr>
        <w:t xml:space="preserve">клубочкової фільтрації. </w:t>
      </w:r>
    </w:p>
    <w:p w:rsidR="005E049F" w:rsidRPr="00837120" w:rsidRDefault="005E049F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Кров:</w:t>
      </w:r>
      <w:r w:rsidRPr="00837120">
        <w:rPr>
          <w:lang w:val="uk-UA"/>
        </w:rPr>
        <w:t xml:space="preserve"> </w:t>
      </w:r>
      <w:r w:rsidR="001B2A6D" w:rsidRPr="00837120">
        <w:rPr>
          <w:lang w:val="uk-UA"/>
        </w:rPr>
        <w:t>Це випробування</w:t>
      </w:r>
      <w:r w:rsidRPr="00837120">
        <w:rPr>
          <w:lang w:val="uk-UA"/>
        </w:rPr>
        <w:t xml:space="preserve"> базується на перексідазоподібній активності гемоглобіну, який каталізує реакцію</w:t>
      </w:r>
      <w:r w:rsidR="003F63FD" w:rsidRPr="00837120">
        <w:rPr>
          <w:lang w:val="uk-UA"/>
        </w:rPr>
        <w:t xml:space="preserve"> кумен – гідропероксиду </w:t>
      </w:r>
      <w:r w:rsidR="00515740" w:rsidRPr="00837120">
        <w:rPr>
          <w:lang w:val="uk-UA"/>
        </w:rPr>
        <w:t xml:space="preserve">та 3,3’,5,5’-тетраметилбензидину. Кольори реакції коливаються від помаранчевого до зеленого чи темно – синього. Наявність будь – яких зелених плям або поширення зеленого кольору у тестовій зоні смужки протягом 60 секунд є показником того, що даний зразок сечі вимагає подальшого дослідження. Кров часто, але не завжди, можна виявити у сечі у жінок з менструацією. </w:t>
      </w:r>
    </w:p>
    <w:p w:rsidR="00515740" w:rsidRPr="00837120" w:rsidRDefault="001B2A6D" w:rsidP="00837120">
      <w:pPr>
        <w:spacing w:line="276" w:lineRule="auto"/>
        <w:rPr>
          <w:lang w:val="uk-UA"/>
        </w:rPr>
      </w:pPr>
      <w:proofErr w:type="spellStart"/>
      <w:r w:rsidRPr="00837120">
        <w:rPr>
          <w:b/>
          <w:lang w:val="uk-UA"/>
        </w:rPr>
        <w:t>рН</w:t>
      </w:r>
      <w:proofErr w:type="spellEnd"/>
      <w:r w:rsidRPr="00837120">
        <w:rPr>
          <w:b/>
          <w:lang w:val="uk-UA"/>
        </w:rPr>
        <w:t>:</w:t>
      </w:r>
      <w:r w:rsidRPr="00837120">
        <w:rPr>
          <w:lang w:val="uk-UA"/>
        </w:rPr>
        <w:t xml:space="preserve"> Це випробування базується на подвійній системі індикації, яка надає широкий діапазон кольорів, що охоплюють увесь діапазон </w:t>
      </w:r>
      <w:proofErr w:type="spellStart"/>
      <w:r w:rsidRPr="00837120">
        <w:rPr>
          <w:lang w:val="uk-UA"/>
        </w:rPr>
        <w:t>рН</w:t>
      </w:r>
      <w:proofErr w:type="spellEnd"/>
      <w:r w:rsidRPr="00837120">
        <w:rPr>
          <w:lang w:val="uk-UA"/>
        </w:rPr>
        <w:t xml:space="preserve"> сечі. Діапазон кольорів варіюється від помаранчевого до жовтого та від зеленого до синього. Очікуваний діапазон </w:t>
      </w:r>
      <w:r w:rsidR="002706AE" w:rsidRPr="00837120">
        <w:rPr>
          <w:lang w:val="uk-UA"/>
        </w:rPr>
        <w:t xml:space="preserve">для нормальних зразків сечі новонароджених становить </w:t>
      </w:r>
      <w:proofErr w:type="spellStart"/>
      <w:r w:rsidR="002706AE" w:rsidRPr="00837120">
        <w:rPr>
          <w:lang w:val="uk-UA"/>
        </w:rPr>
        <w:t>рН</w:t>
      </w:r>
      <w:proofErr w:type="spellEnd"/>
      <w:r w:rsidR="002706AE" w:rsidRPr="00837120">
        <w:rPr>
          <w:lang w:val="uk-UA"/>
        </w:rPr>
        <w:t xml:space="preserve"> 5-7. Очікуваний діапазон для усіх інших нормальних зразків сечі становить 4,5-8, при середньому значенні </w:t>
      </w:r>
      <w:proofErr w:type="spellStart"/>
      <w:r w:rsidR="002706AE" w:rsidRPr="00837120">
        <w:rPr>
          <w:lang w:val="uk-UA"/>
        </w:rPr>
        <w:t>рН</w:t>
      </w:r>
      <w:proofErr w:type="spellEnd"/>
      <w:r w:rsidR="002706AE" w:rsidRPr="00837120">
        <w:rPr>
          <w:lang w:val="uk-UA"/>
        </w:rPr>
        <w:t xml:space="preserve"> 6. </w:t>
      </w:r>
    </w:p>
    <w:p w:rsidR="002706AE" w:rsidRPr="00837120" w:rsidRDefault="00AE234B" w:rsidP="00837120">
      <w:pPr>
        <w:spacing w:line="276" w:lineRule="auto"/>
        <w:rPr>
          <w:lang w:val="ru-RU"/>
        </w:rPr>
      </w:pPr>
      <w:r w:rsidRPr="00837120">
        <w:rPr>
          <w:b/>
          <w:lang w:val="uk-UA"/>
        </w:rPr>
        <w:t>Білок:</w:t>
      </w:r>
      <w:r w:rsidRPr="00837120">
        <w:rPr>
          <w:lang w:val="uk-UA"/>
        </w:rPr>
        <w:t xml:space="preserve"> Це випр</w:t>
      </w:r>
      <w:r w:rsidR="0097215C" w:rsidRPr="00837120">
        <w:rPr>
          <w:lang w:val="uk-UA"/>
        </w:rPr>
        <w:t xml:space="preserve">обування базується на явищі, відомому як «білкова помилка» показників </w:t>
      </w:r>
      <w:proofErr w:type="spellStart"/>
      <w:r w:rsidR="0097215C" w:rsidRPr="00837120">
        <w:rPr>
          <w:lang w:val="uk-UA"/>
        </w:rPr>
        <w:t>рН</w:t>
      </w:r>
      <w:proofErr w:type="spellEnd"/>
      <w:r w:rsidR="0097215C" w:rsidRPr="00837120">
        <w:rPr>
          <w:lang w:val="uk-UA"/>
        </w:rPr>
        <w:t xml:space="preserve">, коли високо буферний індикатор змінює колір у присутності білків (аніонів), оскільки індикатор </w:t>
      </w:r>
      <w:r w:rsidR="0097215C" w:rsidRPr="00837120">
        <w:rPr>
          <w:lang w:val="uk-UA"/>
        </w:rPr>
        <w:lastRenderedPageBreak/>
        <w:t xml:space="preserve">вивільнює іони водню до білка. За умови постійного значення </w:t>
      </w:r>
      <w:proofErr w:type="spellStart"/>
      <w:r w:rsidR="0097215C" w:rsidRPr="00837120">
        <w:rPr>
          <w:lang w:val="uk-UA"/>
        </w:rPr>
        <w:t>рН</w:t>
      </w:r>
      <w:proofErr w:type="spellEnd"/>
      <w:r w:rsidR="0097215C" w:rsidRPr="00837120">
        <w:rPr>
          <w:lang w:val="uk-UA"/>
        </w:rPr>
        <w:t xml:space="preserve">, поява або поширення зеленого кольору свідчить про наявність білка у зразку. Діапазон кольорів від жовтого до жовто-зеленого </w:t>
      </w:r>
      <w:r w:rsidR="0032327D" w:rsidRPr="00837120">
        <w:rPr>
          <w:lang w:val="uk-UA"/>
        </w:rPr>
        <w:t xml:space="preserve">вказує на негативний результат, а від зеленого до блакитного – на позитивний результат. </w:t>
      </w:r>
    </w:p>
    <w:p w:rsidR="00587985" w:rsidRPr="00837120" w:rsidRDefault="00587985" w:rsidP="00837120">
      <w:pPr>
        <w:spacing w:line="276" w:lineRule="auto"/>
        <w:rPr>
          <w:lang w:val="uk-UA"/>
        </w:rPr>
      </w:pPr>
      <w:r w:rsidRPr="00837120">
        <w:rPr>
          <w:lang w:val="ru-RU"/>
        </w:rPr>
        <w:t xml:space="preserve">1-14 </w:t>
      </w:r>
      <w:r w:rsidRPr="00837120">
        <w:rPr>
          <w:lang w:val="uk-UA"/>
        </w:rPr>
        <w:t>мг/</w:t>
      </w:r>
      <w:proofErr w:type="spellStart"/>
      <w:r w:rsidRPr="00837120">
        <w:rPr>
          <w:lang w:val="uk-UA"/>
        </w:rPr>
        <w:t>дЛ</w:t>
      </w:r>
      <w:proofErr w:type="spellEnd"/>
      <w:r w:rsidRPr="00837120">
        <w:rPr>
          <w:lang w:val="uk-UA"/>
        </w:rPr>
        <w:t xml:space="preserve"> білка може бути виявлено у сечі за умови нормального функціонування нирок. </w:t>
      </w:r>
      <w:r w:rsidR="001964A4" w:rsidRPr="00837120">
        <w:rPr>
          <w:lang w:val="uk-UA"/>
        </w:rPr>
        <w:t xml:space="preserve">Більш інтенсивне забарвлення, згідно з кольоровою шкалою, вказує на протеїнурію. </w:t>
      </w:r>
      <w:r w:rsidR="00636A2A" w:rsidRPr="00837120">
        <w:rPr>
          <w:lang w:val="uk-UA"/>
        </w:rPr>
        <w:t>Для сечі з високою питомою вагою, забарвлення тестової зони смужки може співпадати із забарвленням, що свідчить про протеїнурію</w:t>
      </w:r>
      <w:r w:rsidR="001964A4" w:rsidRPr="00837120">
        <w:rPr>
          <w:lang w:val="uk-UA"/>
        </w:rPr>
        <w:t xml:space="preserve"> (згідно з кольоровою шкалою)</w:t>
      </w:r>
      <w:r w:rsidR="00636A2A" w:rsidRPr="00837120">
        <w:rPr>
          <w:lang w:val="uk-UA"/>
        </w:rPr>
        <w:t xml:space="preserve">, хоча концентрація білка, присутнього у зразку, буде припустимою. </w:t>
      </w:r>
      <w:r w:rsidR="00801FB3" w:rsidRPr="00837120">
        <w:rPr>
          <w:lang w:val="uk-UA"/>
        </w:rPr>
        <w:t xml:space="preserve">Для оцінювання таких результатів необхідний клінічний висновок. </w:t>
      </w:r>
    </w:p>
    <w:p w:rsidR="008C6A52" w:rsidRPr="00837120" w:rsidRDefault="00895CA7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Уробіліноген:</w:t>
      </w:r>
      <w:r w:rsidRPr="00837120">
        <w:rPr>
          <w:lang w:val="uk-UA"/>
        </w:rPr>
        <w:t xml:space="preserve"> Це випробування базується на модифікованій реакції </w:t>
      </w:r>
      <w:proofErr w:type="spellStart"/>
      <w:r w:rsidRPr="00837120">
        <w:rPr>
          <w:lang w:val="uk-UA"/>
        </w:rPr>
        <w:t>Е</w:t>
      </w:r>
      <w:r w:rsidR="00FE689E" w:rsidRPr="00837120">
        <w:rPr>
          <w:lang w:val="uk-UA"/>
        </w:rPr>
        <w:t>н</w:t>
      </w:r>
      <w:r w:rsidRPr="00837120">
        <w:rPr>
          <w:lang w:val="uk-UA"/>
        </w:rPr>
        <w:t>рліха</w:t>
      </w:r>
      <w:proofErr w:type="spellEnd"/>
      <w:r w:rsidRPr="00837120">
        <w:rPr>
          <w:lang w:val="uk-UA"/>
        </w:rPr>
        <w:t xml:space="preserve"> між </w:t>
      </w:r>
      <w:r w:rsidR="00FE689E" w:rsidRPr="00837120">
        <w:t>p</w:t>
      </w:r>
      <w:r w:rsidR="00AF3DE5" w:rsidRPr="00837120">
        <w:rPr>
          <w:lang w:val="uk-UA"/>
        </w:rPr>
        <w:t>-діети</w:t>
      </w:r>
      <w:r w:rsidR="00FE689E" w:rsidRPr="00837120">
        <w:rPr>
          <w:lang w:val="uk-UA"/>
        </w:rPr>
        <w:t xml:space="preserve">ламінобензальдегідом та уробобіліногеновою кислотою у сильно кислому середовищі, внаслідок якої з’являється рожеве забарвлення. </w:t>
      </w:r>
      <w:r w:rsidR="00A74465" w:rsidRPr="00837120">
        <w:rPr>
          <w:lang w:val="uk-UA"/>
        </w:rPr>
        <w:t>Уробіліноген є однією з основних сполук, отриманих у синтезі гема і є нормальною речовиною у сечі. Очікувані значення уробіліногену у сечі здорової людини для цього тесту складають 0,2-1,0 мг/</w:t>
      </w:r>
      <w:proofErr w:type="spellStart"/>
      <w:r w:rsidR="00A74465" w:rsidRPr="00837120">
        <w:rPr>
          <w:lang w:val="uk-UA"/>
        </w:rPr>
        <w:t>дЛ</w:t>
      </w:r>
      <w:proofErr w:type="spellEnd"/>
      <w:r w:rsidR="00A74465" w:rsidRPr="00837120">
        <w:rPr>
          <w:lang w:val="uk-UA"/>
        </w:rPr>
        <w:t xml:space="preserve"> (3,5-17мкмоль/Л). Результат 2,0 мг/</w:t>
      </w:r>
      <w:proofErr w:type="spellStart"/>
      <w:r w:rsidR="00A74465" w:rsidRPr="00837120">
        <w:rPr>
          <w:lang w:val="uk-UA"/>
        </w:rPr>
        <w:t>дЛ</w:t>
      </w:r>
      <w:proofErr w:type="spellEnd"/>
      <w:r w:rsidR="00A74465" w:rsidRPr="00837120">
        <w:rPr>
          <w:lang w:val="uk-UA"/>
        </w:rPr>
        <w:t xml:space="preserve"> (35 </w:t>
      </w:r>
      <w:proofErr w:type="spellStart"/>
      <w:r w:rsidR="00A74465" w:rsidRPr="00837120">
        <w:rPr>
          <w:lang w:val="uk-UA"/>
        </w:rPr>
        <w:t>мкмоль</w:t>
      </w:r>
      <w:proofErr w:type="spellEnd"/>
      <w:r w:rsidR="008444E9" w:rsidRPr="00837120">
        <w:rPr>
          <w:lang w:val="uk-UA"/>
        </w:rPr>
        <w:t xml:space="preserve">/Л) може мати клінічне значення, тому для пацієнта з таким результатом необхідні подальші клінічні дослідження. </w:t>
      </w:r>
    </w:p>
    <w:p w:rsidR="00CD25CB" w:rsidRPr="00837120" w:rsidRDefault="006C7F23" w:rsidP="00837120">
      <w:pPr>
        <w:spacing w:line="276" w:lineRule="auto"/>
        <w:rPr>
          <w:lang w:val="uk-UA"/>
        </w:rPr>
      </w:pPr>
      <w:r w:rsidRPr="00837120">
        <w:rPr>
          <w:b/>
          <w:lang w:val="uk-UA"/>
        </w:rPr>
        <w:t>Нітрити:</w:t>
      </w:r>
      <w:r w:rsidRPr="00837120">
        <w:rPr>
          <w:lang w:val="uk-UA"/>
        </w:rPr>
        <w:t xml:space="preserve"> Цей тест залежить від перетворення нітрату в нітрит під впливом Грамнегативних бактерій у сечі. У кислому середовищі нітрити у сечі реагують з р-</w:t>
      </w:r>
      <w:proofErr w:type="spellStart"/>
      <w:r w:rsidRPr="00837120">
        <w:rPr>
          <w:lang w:val="uk-UA"/>
        </w:rPr>
        <w:t>арсаніловою</w:t>
      </w:r>
      <w:proofErr w:type="spellEnd"/>
      <w:r w:rsidRPr="00837120">
        <w:rPr>
          <w:lang w:val="uk-UA"/>
        </w:rPr>
        <w:t xml:space="preserve"> кислотою з утворенням </w:t>
      </w:r>
      <w:proofErr w:type="spellStart"/>
      <w:r w:rsidRPr="00837120">
        <w:rPr>
          <w:lang w:val="uk-UA"/>
        </w:rPr>
        <w:t>діазонієвої</w:t>
      </w:r>
      <w:proofErr w:type="spellEnd"/>
      <w:r w:rsidRPr="00837120">
        <w:rPr>
          <w:lang w:val="uk-UA"/>
        </w:rPr>
        <w:t xml:space="preserve"> сполуки</w:t>
      </w:r>
      <w:r w:rsidR="00F52F9C" w:rsidRPr="00837120">
        <w:rPr>
          <w:lang w:val="uk-UA"/>
        </w:rPr>
        <w:t>. Діазонієва сполука взаємодіє з 1-</w:t>
      </w:r>
      <w:r w:rsidR="00F52F9C" w:rsidRPr="00837120">
        <w:t>N</w:t>
      </w:r>
      <w:r w:rsidR="00F52F9C" w:rsidRPr="00837120">
        <w:rPr>
          <w:lang w:val="uk-UA"/>
        </w:rPr>
        <w:t>-(1-нафтил)-етилендіаміном. Реакція, що відбувається</w:t>
      </w:r>
      <w:r w:rsidR="00837120">
        <w:rPr>
          <w:lang w:val="uk-UA"/>
        </w:rPr>
        <w:t>,</w:t>
      </w:r>
      <w:r w:rsidR="00F52F9C" w:rsidRPr="00837120">
        <w:rPr>
          <w:lang w:val="uk-UA"/>
        </w:rPr>
        <w:t xml:space="preserve"> дає рожеве забарвлення. Зазвичай нітрити у сечі відсутні. </w:t>
      </w:r>
      <w:r w:rsidR="00CD25CB" w:rsidRPr="00837120">
        <w:rPr>
          <w:lang w:val="uk-UA"/>
        </w:rPr>
        <w:t>У ряді випадків інфекцій,  т</w:t>
      </w:r>
      <w:r w:rsidR="00F52F9C" w:rsidRPr="00837120">
        <w:rPr>
          <w:lang w:val="uk-UA"/>
        </w:rPr>
        <w:t>естова зона смужки покаже позитивний резуль</w:t>
      </w:r>
      <w:r w:rsidR="00CD25CB" w:rsidRPr="00837120">
        <w:rPr>
          <w:lang w:val="uk-UA"/>
        </w:rPr>
        <w:t>тат, в залежності від тривалості зберігання зразків сечі у сечовому міхурі. Виявлення</w:t>
      </w:r>
      <w:r w:rsidR="0041034E" w:rsidRPr="00837120">
        <w:rPr>
          <w:lang w:val="uk-UA"/>
        </w:rPr>
        <w:t xml:space="preserve"> позитивних результатів тестів для визначення нітритів коливається від 40% випадків, коли сеча перебувала у сечовому міхурі недовго, до 80% випадків, коли сеча перебувала у сечовому міхурі принаймні 4 години. </w:t>
      </w:r>
    </w:p>
    <w:p w:rsidR="006A46EC" w:rsidRPr="00837120" w:rsidRDefault="0041034E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Лейкоцити: Цей тест виявляє наявність </w:t>
      </w:r>
      <w:r w:rsidR="000B64C5" w:rsidRPr="00837120">
        <w:rPr>
          <w:lang w:val="uk-UA"/>
        </w:rPr>
        <w:t>естерази гранулоцитів. Естераза розщеплює дериватизований ефір амінокислоти піразолу</w:t>
      </w:r>
      <w:r w:rsidR="00594B4F" w:rsidRPr="00837120">
        <w:rPr>
          <w:lang w:val="uk-UA"/>
        </w:rPr>
        <w:t>,</w:t>
      </w:r>
      <w:r w:rsidR="000B64C5" w:rsidRPr="00837120">
        <w:rPr>
          <w:lang w:val="uk-UA"/>
        </w:rPr>
        <w:t xml:space="preserve"> в результаті чого вивільнюється дериватизований гідроксі піразол. Після чого цей піразол взаємодіє з діазонієвою сіллю з появою забарвлення, що коливається від бежево-рожевого до фіолетового. Зразки сечі здорової людини зазвичай дають негативні результат</w:t>
      </w:r>
      <w:r w:rsidR="00594B4F" w:rsidRPr="00837120">
        <w:rPr>
          <w:lang w:val="uk-UA"/>
        </w:rPr>
        <w:t>и</w:t>
      </w:r>
      <w:r w:rsidR="000B64C5" w:rsidRPr="00837120">
        <w:rPr>
          <w:lang w:val="uk-UA"/>
        </w:rPr>
        <w:t xml:space="preserve">. Виявлення незначної кількості лейкоцитів у сечі може мати сумнівне клінічне значення. В такому разі необхідно провести повторний аналіз, використовуючи свіжий зразок сечі того самого пацієнта. </w:t>
      </w:r>
      <w:r w:rsidR="00594B4F" w:rsidRPr="00837120">
        <w:rPr>
          <w:lang w:val="uk-UA"/>
        </w:rPr>
        <w:t xml:space="preserve">Повторне виявлення слідів лейкоцитів або позитивний результат вже мають клінічне значення. </w:t>
      </w:r>
    </w:p>
    <w:p w:rsidR="00065C01" w:rsidRPr="00837120" w:rsidRDefault="00065C01" w:rsidP="00837120">
      <w:pPr>
        <w:spacing w:line="276" w:lineRule="auto"/>
        <w:rPr>
          <w:b/>
          <w:lang w:val="uk-UA"/>
        </w:rPr>
      </w:pPr>
      <w:r w:rsidRPr="00837120">
        <w:rPr>
          <w:b/>
          <w:lang w:val="uk-UA"/>
        </w:rPr>
        <w:t xml:space="preserve">РЕАГЕНТИ ТА </w:t>
      </w:r>
      <w:r w:rsidR="00454469" w:rsidRPr="00837120">
        <w:rPr>
          <w:b/>
          <w:lang w:val="uk-UA"/>
        </w:rPr>
        <w:t xml:space="preserve">ЇХ </w:t>
      </w:r>
      <w:r w:rsidRPr="00837120">
        <w:rPr>
          <w:b/>
          <w:lang w:val="uk-UA"/>
        </w:rPr>
        <w:t>ХАРАКТЕРИСТИКИ</w:t>
      </w:r>
    </w:p>
    <w:p w:rsidR="00065C01" w:rsidRPr="00837120" w:rsidRDefault="00F67A0A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>Концентрації реагентів наведені під час нанесення речовини на тестову смужку та можуть мати припустиме відхилення. У та</w:t>
      </w:r>
      <w:r w:rsidR="003F7FBB" w:rsidRPr="00837120">
        <w:rPr>
          <w:lang w:val="uk-UA"/>
        </w:rPr>
        <w:t xml:space="preserve">блиці нижче наведено час зчитування та характеристики для кожного параметру.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76"/>
        <w:gridCol w:w="780"/>
        <w:gridCol w:w="2338"/>
      </w:tblGrid>
      <w:tr w:rsidR="003F7FBB" w:rsidRPr="00837120" w:rsidTr="008F1ECA">
        <w:tc>
          <w:tcPr>
            <w:tcW w:w="1555" w:type="dxa"/>
          </w:tcPr>
          <w:p w:rsidR="003F7FBB" w:rsidRPr="00837120" w:rsidRDefault="003F7FBB" w:rsidP="00837120">
            <w:pPr>
              <w:spacing w:line="276" w:lineRule="auto"/>
              <w:jc w:val="center"/>
              <w:rPr>
                <w:b/>
                <w:lang w:val="ru-RU"/>
              </w:rPr>
            </w:pPr>
            <w:r w:rsidRPr="00837120">
              <w:rPr>
                <w:b/>
                <w:lang w:val="ru-RU"/>
              </w:rPr>
              <w:t>Реагент</w:t>
            </w:r>
          </w:p>
        </w:tc>
        <w:tc>
          <w:tcPr>
            <w:tcW w:w="1701" w:type="dxa"/>
          </w:tcPr>
          <w:p w:rsidR="003F7FBB" w:rsidRPr="00837120" w:rsidRDefault="003F7FBB" w:rsidP="00837120">
            <w:pPr>
              <w:spacing w:line="276" w:lineRule="auto"/>
              <w:jc w:val="center"/>
              <w:rPr>
                <w:b/>
                <w:lang w:val="uk-UA"/>
              </w:rPr>
            </w:pPr>
            <w:r w:rsidRPr="00837120">
              <w:rPr>
                <w:b/>
                <w:lang w:val="ru-RU"/>
              </w:rPr>
              <w:t>Час</w:t>
            </w:r>
            <w:r w:rsidRPr="00837120">
              <w:rPr>
                <w:b/>
                <w:lang w:val="uk-UA"/>
              </w:rPr>
              <w:t xml:space="preserve"> зчитування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3F7FBB" w:rsidRPr="00837120" w:rsidRDefault="003F7FBB" w:rsidP="00837120">
            <w:pPr>
              <w:spacing w:line="276" w:lineRule="auto"/>
              <w:jc w:val="center"/>
              <w:rPr>
                <w:b/>
                <w:lang w:val="uk-UA"/>
              </w:rPr>
            </w:pPr>
            <w:r w:rsidRPr="00837120">
              <w:rPr>
                <w:b/>
                <w:lang w:val="ru-RU"/>
              </w:rPr>
              <w:t>Склад (</w:t>
            </w:r>
            <w:r w:rsidRPr="00837120">
              <w:rPr>
                <w:b/>
                <w:lang w:val="uk-UA"/>
              </w:rPr>
              <w:t>вагове співвідношення)</w:t>
            </w:r>
          </w:p>
        </w:tc>
        <w:tc>
          <w:tcPr>
            <w:tcW w:w="2338" w:type="dxa"/>
          </w:tcPr>
          <w:p w:rsidR="003F7FBB" w:rsidRPr="00837120" w:rsidRDefault="003F7FBB" w:rsidP="00837120">
            <w:pPr>
              <w:spacing w:line="276" w:lineRule="auto"/>
              <w:jc w:val="center"/>
              <w:rPr>
                <w:b/>
                <w:lang w:val="uk-UA"/>
              </w:rPr>
            </w:pPr>
            <w:r w:rsidRPr="00837120">
              <w:rPr>
                <w:b/>
                <w:lang w:val="uk-UA"/>
              </w:rPr>
              <w:t>Опис</w:t>
            </w:r>
          </w:p>
        </w:tc>
      </w:tr>
      <w:tr w:rsidR="00396F1C" w:rsidRPr="00837120" w:rsidTr="00F37EC6">
        <w:tc>
          <w:tcPr>
            <w:tcW w:w="1555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b/>
              </w:rPr>
            </w:pPr>
            <w:r w:rsidRPr="00837120">
              <w:rPr>
                <w:b/>
                <w:lang w:val="uk-UA"/>
              </w:rPr>
              <w:t xml:space="preserve">Аскорбінова кислота </w:t>
            </w:r>
            <w:r w:rsidRPr="00837120">
              <w:rPr>
                <w:b/>
              </w:rPr>
              <w:t>(ASC)</w:t>
            </w:r>
          </w:p>
        </w:tc>
        <w:tc>
          <w:tcPr>
            <w:tcW w:w="1701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t xml:space="preserve">30 </w:t>
            </w:r>
            <w:r w:rsidRPr="00837120">
              <w:rPr>
                <w:lang w:val="uk-UA"/>
              </w:rPr>
              <w:t>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2,6-діхлорофеноліндофенол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lastRenderedPageBreak/>
              <w:t>Буфер, нереагуючі інгредієнти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lastRenderedPageBreak/>
              <w:t>0.3%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99.7%</w:t>
            </w:r>
          </w:p>
        </w:tc>
        <w:tc>
          <w:tcPr>
            <w:tcW w:w="2338" w:type="dxa"/>
          </w:tcPr>
          <w:p w:rsidR="00014C51" w:rsidRPr="00837120" w:rsidRDefault="008F1ECA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Виявлення аскорбінової кислоти </w:t>
            </w:r>
            <w:r w:rsidRPr="00837120">
              <w:rPr>
                <w:lang w:val="uk-UA"/>
              </w:rPr>
              <w:lastRenderedPageBreak/>
              <w:t>у концентрації нижче за 5-10</w:t>
            </w:r>
            <w:r w:rsidR="00424EB0" w:rsidRPr="00837120">
              <w:rPr>
                <w:lang w:val="uk-UA"/>
              </w:rPr>
              <w:t xml:space="preserve"> </w:t>
            </w:r>
            <w:r w:rsidRPr="00837120">
              <w:rPr>
                <w:lang w:val="uk-UA"/>
              </w:rPr>
              <w:t>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</w:t>
            </w:r>
          </w:p>
          <w:p w:rsidR="00396F1C" w:rsidRPr="00837120" w:rsidRDefault="008F1ECA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(0.28-0.56 ммоль/Л)</w:t>
            </w:r>
          </w:p>
        </w:tc>
      </w:tr>
      <w:tr w:rsidR="00396F1C" w:rsidRPr="001B38F0" w:rsidTr="00F37EC6">
        <w:tc>
          <w:tcPr>
            <w:tcW w:w="1555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b/>
                <w:lang w:val="uk-UA"/>
              </w:rPr>
            </w:pPr>
            <w:r w:rsidRPr="00837120">
              <w:rPr>
                <w:b/>
                <w:lang w:val="uk-UA"/>
              </w:rPr>
              <w:lastRenderedPageBreak/>
              <w:t>Глюкоза (</w:t>
            </w:r>
            <w:r w:rsidRPr="00837120">
              <w:rPr>
                <w:b/>
              </w:rPr>
              <w:t>GLU</w:t>
            </w:r>
            <w:r w:rsidRPr="00837120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30 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Глюкозо оксидаза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Пероксидаза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Калію йодид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Буфер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Нереагуючі інгредієнти 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1.5%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0.5%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10.0%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75.0%</w:t>
            </w: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13.0%</w:t>
            </w:r>
          </w:p>
        </w:tc>
        <w:tc>
          <w:tcPr>
            <w:tcW w:w="2338" w:type="dxa"/>
          </w:tcPr>
          <w:p w:rsidR="00014C51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Виявлення глюкози у концентрації нижче за 50-100</w:t>
            </w:r>
            <w:r w:rsidR="00424EB0" w:rsidRPr="00837120">
              <w:rPr>
                <w:lang w:val="uk-UA"/>
              </w:rPr>
              <w:t xml:space="preserve"> </w:t>
            </w:r>
            <w:r w:rsidRPr="00837120">
              <w:rPr>
                <w:lang w:val="uk-UA"/>
              </w:rPr>
              <w:t>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</w:t>
            </w:r>
          </w:p>
          <w:p w:rsidR="00396F1C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(2.5-5 ммоль/Л)</w:t>
            </w:r>
          </w:p>
          <w:p w:rsidR="00014C51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Через 10 секунд результат можна оцінити якісно, через 30 секунд – кількісно.</w:t>
            </w:r>
          </w:p>
        </w:tc>
      </w:tr>
      <w:tr w:rsidR="00396F1C" w:rsidRPr="00837120" w:rsidTr="00F37EC6">
        <w:tc>
          <w:tcPr>
            <w:tcW w:w="1555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b/>
                <w:lang w:val="uk-UA"/>
              </w:rPr>
            </w:pPr>
            <w:r w:rsidRPr="00837120">
              <w:rPr>
                <w:b/>
                <w:lang w:val="uk-UA"/>
              </w:rPr>
              <w:t>Білірубін (</w:t>
            </w:r>
            <w:r w:rsidRPr="00837120">
              <w:rPr>
                <w:b/>
              </w:rPr>
              <w:t>BIL</w:t>
            </w:r>
            <w:r w:rsidRPr="00837120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30 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0F14C6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2,4-діхлороанілін </w:t>
            </w:r>
            <w:r w:rsidR="000F14C6" w:rsidRPr="00837120">
              <w:rPr>
                <w:lang w:val="uk-UA"/>
              </w:rPr>
              <w:t xml:space="preserve">діазонієва сіль 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Буфер, нереагуючі інгредієнти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0.5%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</w:p>
          <w:p w:rsidR="00396F1C" w:rsidRPr="00837120" w:rsidRDefault="00396F1C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99.5%</w:t>
            </w:r>
          </w:p>
        </w:tc>
        <w:tc>
          <w:tcPr>
            <w:tcW w:w="2338" w:type="dxa"/>
          </w:tcPr>
          <w:p w:rsidR="00014C51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Виявлення білірубіну у концентрації нижче за 0.4-0.8</w:t>
            </w:r>
            <w:r w:rsidR="00424EB0" w:rsidRPr="00837120">
              <w:rPr>
                <w:lang w:val="uk-UA"/>
              </w:rPr>
              <w:t xml:space="preserve"> </w:t>
            </w:r>
            <w:r w:rsidRPr="00837120">
              <w:rPr>
                <w:lang w:val="uk-UA"/>
              </w:rPr>
              <w:t>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</w:t>
            </w:r>
          </w:p>
          <w:p w:rsidR="00396F1C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(6.8-13.6 </w:t>
            </w:r>
            <w:proofErr w:type="spellStart"/>
            <w:r w:rsidRPr="00837120">
              <w:rPr>
                <w:lang w:val="uk-UA"/>
              </w:rPr>
              <w:t>мкмоль</w:t>
            </w:r>
            <w:proofErr w:type="spellEnd"/>
            <w:r w:rsidRPr="00837120">
              <w:rPr>
                <w:lang w:val="uk-UA"/>
              </w:rPr>
              <w:t>/Л)</w:t>
            </w:r>
          </w:p>
        </w:tc>
      </w:tr>
      <w:tr w:rsidR="00396F1C" w:rsidRPr="00837120" w:rsidTr="00F37EC6">
        <w:tc>
          <w:tcPr>
            <w:tcW w:w="1555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b/>
                <w:lang w:val="uk-UA"/>
              </w:rPr>
            </w:pPr>
            <w:r w:rsidRPr="00837120">
              <w:rPr>
                <w:b/>
                <w:lang w:val="uk-UA"/>
              </w:rPr>
              <w:t>Кетони (</w:t>
            </w:r>
            <w:r w:rsidRPr="00837120">
              <w:rPr>
                <w:b/>
              </w:rPr>
              <w:t>KET</w:t>
            </w:r>
            <w:r w:rsidRPr="00837120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lang w:val="ru-RU"/>
              </w:rPr>
            </w:pPr>
            <w:r w:rsidRPr="00837120">
              <w:rPr>
                <w:lang w:val="uk-UA"/>
              </w:rPr>
              <w:t>40 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396F1C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Натрію нітропрусид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Буфер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0F14C6" w:rsidRPr="00837120" w:rsidRDefault="000F14C6" w:rsidP="00837120">
            <w:pPr>
              <w:spacing w:line="276" w:lineRule="auto"/>
            </w:pPr>
            <w:r w:rsidRPr="00837120">
              <w:t>5%</w:t>
            </w:r>
          </w:p>
          <w:p w:rsidR="00396F1C" w:rsidRPr="00837120" w:rsidRDefault="00396F1C" w:rsidP="00837120">
            <w:pPr>
              <w:spacing w:line="276" w:lineRule="auto"/>
            </w:pPr>
            <w:r w:rsidRPr="00837120">
              <w:t>95%</w:t>
            </w:r>
          </w:p>
        </w:tc>
        <w:tc>
          <w:tcPr>
            <w:tcW w:w="2338" w:type="dxa"/>
          </w:tcPr>
          <w:p w:rsidR="00014C51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Виявлення ацетооцтової кислоти у концентрації нижче за 2.5-5</w:t>
            </w:r>
            <w:r w:rsidR="00424EB0" w:rsidRPr="00837120">
              <w:rPr>
                <w:lang w:val="uk-UA"/>
              </w:rPr>
              <w:t xml:space="preserve"> </w:t>
            </w:r>
            <w:r w:rsidRPr="00837120">
              <w:rPr>
                <w:lang w:val="uk-UA"/>
              </w:rPr>
              <w:t>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</w:t>
            </w:r>
          </w:p>
          <w:p w:rsidR="00396F1C" w:rsidRPr="00837120" w:rsidRDefault="00014C51" w:rsidP="00837120">
            <w:pPr>
              <w:spacing w:line="276" w:lineRule="auto"/>
              <w:rPr>
                <w:lang w:val="ru-RU"/>
              </w:rPr>
            </w:pPr>
            <w:r w:rsidRPr="00837120">
              <w:rPr>
                <w:lang w:val="uk-UA"/>
              </w:rPr>
              <w:t>(0.25-0.5 ммоль/Л)</w:t>
            </w:r>
          </w:p>
        </w:tc>
      </w:tr>
      <w:tr w:rsidR="00396F1C" w:rsidRPr="00837120" w:rsidTr="00F37EC6">
        <w:tc>
          <w:tcPr>
            <w:tcW w:w="1555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b/>
              </w:rPr>
            </w:pPr>
            <w:r w:rsidRPr="00837120">
              <w:rPr>
                <w:b/>
                <w:lang w:val="uk-UA"/>
              </w:rPr>
              <w:t>Питома вага</w:t>
            </w:r>
            <w:r w:rsidRPr="00837120">
              <w:rPr>
                <w:b/>
              </w:rPr>
              <w:t xml:space="preserve"> (SG)</w:t>
            </w:r>
          </w:p>
        </w:tc>
        <w:tc>
          <w:tcPr>
            <w:tcW w:w="1701" w:type="dxa"/>
            <w:vAlign w:val="center"/>
          </w:tcPr>
          <w:p w:rsidR="00396F1C" w:rsidRPr="00837120" w:rsidRDefault="00396F1C" w:rsidP="00837120">
            <w:pPr>
              <w:spacing w:line="276" w:lineRule="auto"/>
              <w:rPr>
                <w:lang w:val="ru-RU"/>
              </w:rPr>
            </w:pPr>
            <w:r w:rsidRPr="00837120">
              <w:t xml:space="preserve">45 </w:t>
            </w:r>
            <w:r w:rsidRPr="00837120">
              <w:rPr>
                <w:lang w:val="uk-UA"/>
              </w:rPr>
              <w:t>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396F1C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Індикатор бромтімоловий синій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Буфер, нереагуючі інгредієнти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Метил-вініловий ефір/малеїновий ангідрид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Натрію гідроксид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0F14C6" w:rsidRPr="00837120" w:rsidRDefault="000F14C6" w:rsidP="00837120">
            <w:pPr>
              <w:spacing w:line="276" w:lineRule="auto"/>
            </w:pPr>
            <w:r w:rsidRPr="00837120">
              <w:t>2.5%</w:t>
            </w:r>
          </w:p>
          <w:p w:rsidR="000F14C6" w:rsidRPr="00837120" w:rsidRDefault="000F14C6" w:rsidP="00837120">
            <w:pPr>
              <w:spacing w:line="276" w:lineRule="auto"/>
            </w:pPr>
          </w:p>
          <w:p w:rsidR="000F14C6" w:rsidRPr="00837120" w:rsidRDefault="000F14C6" w:rsidP="00837120">
            <w:pPr>
              <w:spacing w:line="276" w:lineRule="auto"/>
            </w:pPr>
            <w:r w:rsidRPr="00837120">
              <w:t>17.5%</w:t>
            </w:r>
          </w:p>
          <w:p w:rsidR="000F14C6" w:rsidRPr="00837120" w:rsidRDefault="000F14C6" w:rsidP="00837120">
            <w:pPr>
              <w:spacing w:line="276" w:lineRule="auto"/>
            </w:pPr>
          </w:p>
          <w:p w:rsidR="00396F1C" w:rsidRPr="00837120" w:rsidRDefault="00396F1C" w:rsidP="00837120">
            <w:pPr>
              <w:spacing w:line="276" w:lineRule="auto"/>
            </w:pPr>
            <w:r w:rsidRPr="00837120">
              <w:t>55%</w:t>
            </w:r>
          </w:p>
          <w:p w:rsidR="000F14C6" w:rsidRPr="00837120" w:rsidRDefault="000F14C6" w:rsidP="00837120">
            <w:pPr>
              <w:spacing w:line="276" w:lineRule="auto"/>
            </w:pPr>
          </w:p>
          <w:p w:rsidR="00396F1C" w:rsidRPr="00837120" w:rsidRDefault="00396F1C" w:rsidP="00837120">
            <w:pPr>
              <w:spacing w:line="276" w:lineRule="auto"/>
            </w:pPr>
            <w:r w:rsidRPr="00837120">
              <w:t>25%</w:t>
            </w:r>
          </w:p>
        </w:tc>
        <w:tc>
          <w:tcPr>
            <w:tcW w:w="2338" w:type="dxa"/>
          </w:tcPr>
          <w:p w:rsidR="00396F1C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Визначення питомої ваги сечі від 1.000 до 1.030. </w:t>
            </w:r>
          </w:p>
          <w:p w:rsidR="00014C51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Коефіцієнт кореляції складає ±0.005</w:t>
            </w:r>
          </w:p>
        </w:tc>
      </w:tr>
      <w:tr w:rsidR="000F14C6" w:rsidRPr="001B38F0" w:rsidTr="00F37EC6">
        <w:tc>
          <w:tcPr>
            <w:tcW w:w="1555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b/>
                <w:lang w:val="ru-RU"/>
              </w:rPr>
            </w:pPr>
            <w:r w:rsidRPr="00837120">
              <w:rPr>
                <w:b/>
                <w:lang w:val="uk-UA"/>
              </w:rPr>
              <w:t>Кров</w:t>
            </w:r>
            <w:r w:rsidRPr="00837120">
              <w:rPr>
                <w:b/>
                <w:lang w:val="ru-RU"/>
              </w:rPr>
              <w:t xml:space="preserve"> (</w:t>
            </w:r>
            <w:r w:rsidRPr="00837120">
              <w:rPr>
                <w:b/>
              </w:rPr>
              <w:t>BLO</w:t>
            </w:r>
            <w:r w:rsidRPr="00837120">
              <w:rPr>
                <w:b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lang w:val="ru-RU"/>
              </w:rPr>
            </w:pPr>
            <w:r w:rsidRPr="00837120">
              <w:rPr>
                <w:lang w:val="ru-RU"/>
              </w:rPr>
              <w:t xml:space="preserve">60 </w:t>
            </w:r>
            <w:r w:rsidRPr="00837120">
              <w:rPr>
                <w:lang w:val="uk-UA"/>
              </w:rPr>
              <w:t>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0F14C6" w:rsidRPr="00837120" w:rsidRDefault="000F14C6" w:rsidP="00837120">
            <w:pPr>
              <w:spacing w:line="276" w:lineRule="auto"/>
              <w:rPr>
                <w:lang w:val="ru-RU"/>
              </w:rPr>
            </w:pPr>
            <w:r w:rsidRPr="00837120">
              <w:rPr>
                <w:lang w:val="uk-UA"/>
              </w:rPr>
              <w:t xml:space="preserve">3,3’,5,5’-тетраметилбензидин </w:t>
            </w:r>
            <w:r w:rsidRPr="00837120">
              <w:rPr>
                <w:lang w:val="ru-RU"/>
              </w:rPr>
              <w:t>(</w:t>
            </w:r>
            <w:r w:rsidRPr="00837120">
              <w:t>TMB</w:t>
            </w:r>
            <w:r w:rsidRPr="00837120">
              <w:rPr>
                <w:lang w:val="ru-RU"/>
              </w:rPr>
              <w:t>)</w:t>
            </w:r>
          </w:p>
          <w:p w:rsidR="000F14C6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кумен – гідропероксид</w:t>
            </w:r>
          </w:p>
          <w:p w:rsidR="00AF3DE5" w:rsidRPr="00837120" w:rsidRDefault="00AF3DE5" w:rsidP="00837120">
            <w:pPr>
              <w:spacing w:line="276" w:lineRule="auto"/>
              <w:rPr>
                <w:lang w:val="ru-RU"/>
              </w:rPr>
            </w:pPr>
            <w:r w:rsidRPr="00837120">
              <w:rPr>
                <w:lang w:val="uk-UA"/>
              </w:rPr>
              <w:t>Буфер, нереагуючі інгредієнти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0F14C6" w:rsidRPr="00837120" w:rsidRDefault="000F14C6" w:rsidP="00837120">
            <w:pPr>
              <w:spacing w:line="276" w:lineRule="auto"/>
            </w:pPr>
            <w:r w:rsidRPr="00837120">
              <w:t>4%</w:t>
            </w:r>
          </w:p>
          <w:p w:rsidR="000F14C6" w:rsidRPr="00837120" w:rsidRDefault="000F14C6" w:rsidP="00837120">
            <w:pPr>
              <w:spacing w:line="276" w:lineRule="auto"/>
            </w:pPr>
          </w:p>
          <w:p w:rsidR="000F14C6" w:rsidRPr="00837120" w:rsidRDefault="000F14C6" w:rsidP="00837120">
            <w:pPr>
              <w:spacing w:line="276" w:lineRule="auto"/>
            </w:pPr>
            <w:r w:rsidRPr="00837120">
              <w:t>6%</w:t>
            </w:r>
          </w:p>
          <w:p w:rsidR="000F14C6" w:rsidRPr="00837120" w:rsidRDefault="000F14C6" w:rsidP="00837120">
            <w:pPr>
              <w:spacing w:line="276" w:lineRule="auto"/>
            </w:pPr>
            <w:r w:rsidRPr="00837120">
              <w:t>90%</w:t>
            </w:r>
          </w:p>
        </w:tc>
        <w:tc>
          <w:tcPr>
            <w:tcW w:w="2338" w:type="dxa"/>
          </w:tcPr>
          <w:p w:rsidR="00014C51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Виявлення вільного гемоглобіну у концентрації нижче за </w:t>
            </w:r>
            <w:r w:rsidR="00424EB0" w:rsidRPr="00837120">
              <w:rPr>
                <w:lang w:val="uk-UA"/>
              </w:rPr>
              <w:t xml:space="preserve">0.015-0.062 </w:t>
            </w:r>
            <w:r w:rsidRPr="00837120">
              <w:rPr>
                <w:lang w:val="uk-UA"/>
              </w:rPr>
              <w:t>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</w:t>
            </w:r>
          </w:p>
          <w:p w:rsidR="000F14C6" w:rsidRPr="00837120" w:rsidRDefault="00014C51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(</w:t>
            </w:r>
            <w:r w:rsidR="00424EB0" w:rsidRPr="00837120">
              <w:rPr>
                <w:lang w:val="uk-UA"/>
              </w:rPr>
              <w:t xml:space="preserve">або 5-10 </w:t>
            </w:r>
            <w:proofErr w:type="spellStart"/>
            <w:r w:rsidR="00424EB0" w:rsidRPr="00837120">
              <w:t>Ery</w:t>
            </w:r>
            <w:proofErr w:type="spellEnd"/>
            <w:r w:rsidRPr="00837120">
              <w:rPr>
                <w:lang w:val="uk-UA"/>
              </w:rPr>
              <w:t>/</w:t>
            </w:r>
            <w:proofErr w:type="spellStart"/>
            <w:r w:rsidR="00424EB0" w:rsidRPr="00837120">
              <w:rPr>
                <w:lang w:val="uk-UA"/>
              </w:rPr>
              <w:t>мк</w:t>
            </w:r>
            <w:r w:rsidRPr="00837120">
              <w:rPr>
                <w:lang w:val="uk-UA"/>
              </w:rPr>
              <w:t>Л</w:t>
            </w:r>
            <w:proofErr w:type="spellEnd"/>
            <w:r w:rsidRPr="00837120">
              <w:rPr>
                <w:lang w:val="uk-UA"/>
              </w:rPr>
              <w:t>)</w:t>
            </w:r>
            <w:r w:rsidR="00424EB0" w:rsidRPr="00837120">
              <w:rPr>
                <w:lang w:val="uk-UA"/>
              </w:rPr>
              <w:t xml:space="preserve"> у зразках сечі із вмістом аскорбінової кислоти &lt;50 мг/</w:t>
            </w:r>
            <w:proofErr w:type="spellStart"/>
            <w:r w:rsidR="00424EB0" w:rsidRPr="00837120">
              <w:rPr>
                <w:lang w:val="uk-UA"/>
              </w:rPr>
              <w:t>дЛ</w:t>
            </w:r>
            <w:proofErr w:type="spellEnd"/>
          </w:p>
        </w:tc>
      </w:tr>
      <w:tr w:rsidR="000F14C6" w:rsidRPr="001B38F0" w:rsidTr="00F37EC6">
        <w:tc>
          <w:tcPr>
            <w:tcW w:w="1555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b/>
                <w:lang w:val="uk-UA"/>
              </w:rPr>
            </w:pPr>
            <w:proofErr w:type="spellStart"/>
            <w:r w:rsidRPr="00837120">
              <w:rPr>
                <w:b/>
                <w:lang w:val="uk-UA"/>
              </w:rPr>
              <w:t>рН</w:t>
            </w:r>
            <w:proofErr w:type="spellEnd"/>
          </w:p>
        </w:tc>
        <w:tc>
          <w:tcPr>
            <w:tcW w:w="1701" w:type="dxa"/>
            <w:vAlign w:val="center"/>
          </w:tcPr>
          <w:p w:rsidR="000F14C6" w:rsidRPr="00837120" w:rsidRDefault="000F14C6" w:rsidP="00837120">
            <w:pPr>
              <w:spacing w:line="276" w:lineRule="auto"/>
            </w:pPr>
            <w:r w:rsidRPr="00837120">
              <w:t xml:space="preserve">60 </w:t>
            </w:r>
            <w:r w:rsidRPr="00837120">
              <w:rPr>
                <w:lang w:val="uk-UA"/>
              </w:rPr>
              <w:t>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0F14C6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Метиловий червоний натрієва сіль</w:t>
            </w:r>
          </w:p>
          <w:p w:rsidR="00AF3DE5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Бромтімоловий синій</w:t>
            </w:r>
          </w:p>
          <w:p w:rsidR="00AF3DE5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Нереагуючі інгредієнти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0F14C6" w:rsidRPr="00837120" w:rsidRDefault="000F14C6" w:rsidP="00837120">
            <w:pPr>
              <w:spacing w:line="276" w:lineRule="auto"/>
            </w:pPr>
            <w:r w:rsidRPr="00837120">
              <w:t>0.5%</w:t>
            </w:r>
          </w:p>
          <w:p w:rsidR="00AF3DE5" w:rsidRPr="00837120" w:rsidRDefault="00AF3DE5" w:rsidP="00837120">
            <w:pPr>
              <w:spacing w:line="276" w:lineRule="auto"/>
            </w:pPr>
          </w:p>
          <w:p w:rsidR="000F14C6" w:rsidRPr="00837120" w:rsidRDefault="000F14C6" w:rsidP="00837120">
            <w:pPr>
              <w:spacing w:line="276" w:lineRule="auto"/>
            </w:pPr>
            <w:r w:rsidRPr="00837120">
              <w:t>5%</w:t>
            </w:r>
          </w:p>
          <w:p w:rsidR="000F14C6" w:rsidRPr="00837120" w:rsidRDefault="000F14C6" w:rsidP="00837120">
            <w:pPr>
              <w:spacing w:line="276" w:lineRule="auto"/>
            </w:pPr>
            <w:r w:rsidRPr="00837120">
              <w:t>94.5%</w:t>
            </w:r>
          </w:p>
        </w:tc>
        <w:tc>
          <w:tcPr>
            <w:tcW w:w="2338" w:type="dxa"/>
          </w:tcPr>
          <w:p w:rsidR="000F14C6" w:rsidRPr="00837120" w:rsidRDefault="00424EB0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Допускається кількісна диференціація значень </w:t>
            </w:r>
            <w:proofErr w:type="spellStart"/>
            <w:r w:rsidRPr="00837120">
              <w:rPr>
                <w:lang w:val="uk-UA"/>
              </w:rPr>
              <w:t>рН</w:t>
            </w:r>
            <w:proofErr w:type="spellEnd"/>
            <w:r w:rsidRPr="00837120">
              <w:rPr>
                <w:lang w:val="uk-UA"/>
              </w:rPr>
              <w:t xml:space="preserve"> у діапазоні 5-9</w:t>
            </w:r>
          </w:p>
        </w:tc>
      </w:tr>
      <w:tr w:rsidR="000F14C6" w:rsidRPr="00837120" w:rsidTr="00F37EC6">
        <w:tc>
          <w:tcPr>
            <w:tcW w:w="1555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b/>
              </w:rPr>
            </w:pPr>
            <w:r w:rsidRPr="00837120">
              <w:rPr>
                <w:b/>
                <w:lang w:val="uk-UA"/>
              </w:rPr>
              <w:lastRenderedPageBreak/>
              <w:t>Білок</w:t>
            </w:r>
            <w:r w:rsidRPr="00837120">
              <w:rPr>
                <w:b/>
              </w:rPr>
              <w:t xml:space="preserve"> (PRO)</w:t>
            </w:r>
          </w:p>
        </w:tc>
        <w:tc>
          <w:tcPr>
            <w:tcW w:w="1701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lang w:val="ru-RU"/>
              </w:rPr>
            </w:pPr>
            <w:r w:rsidRPr="00837120">
              <w:t xml:space="preserve">60 </w:t>
            </w:r>
            <w:r w:rsidRPr="00837120">
              <w:rPr>
                <w:lang w:val="uk-UA"/>
              </w:rPr>
              <w:t>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0F14C6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Тетрабромфенол синій</w:t>
            </w:r>
          </w:p>
          <w:p w:rsidR="00AF3DE5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Буфер, нереагуючі інгредієнти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AF3DE5" w:rsidRPr="00837120" w:rsidRDefault="00AF3DE5" w:rsidP="00837120">
            <w:pPr>
              <w:spacing w:line="276" w:lineRule="auto"/>
            </w:pPr>
            <w:r w:rsidRPr="00837120">
              <w:t>0.3%</w:t>
            </w:r>
          </w:p>
          <w:p w:rsidR="000F14C6" w:rsidRPr="00837120" w:rsidRDefault="000F14C6" w:rsidP="00837120">
            <w:pPr>
              <w:spacing w:line="276" w:lineRule="auto"/>
            </w:pPr>
            <w:r w:rsidRPr="00837120">
              <w:t>99.7%</w:t>
            </w:r>
          </w:p>
        </w:tc>
        <w:tc>
          <w:tcPr>
            <w:tcW w:w="2338" w:type="dxa"/>
          </w:tcPr>
          <w:p w:rsidR="00424EB0" w:rsidRPr="00837120" w:rsidRDefault="00424EB0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Виявлення альбумінів у концентрації нижче за 7.5-20 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</w:t>
            </w:r>
          </w:p>
          <w:p w:rsidR="000F14C6" w:rsidRPr="00837120" w:rsidRDefault="00424EB0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(0.075-0.2 г/Л)</w:t>
            </w:r>
          </w:p>
        </w:tc>
      </w:tr>
      <w:tr w:rsidR="000F14C6" w:rsidRPr="00837120" w:rsidTr="00F37EC6">
        <w:tc>
          <w:tcPr>
            <w:tcW w:w="1555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b/>
                <w:lang w:val="uk-UA"/>
              </w:rPr>
            </w:pPr>
            <w:r w:rsidRPr="00837120">
              <w:rPr>
                <w:b/>
                <w:lang w:val="uk-UA"/>
              </w:rPr>
              <w:t>Уробіліноген (</w:t>
            </w:r>
            <w:r w:rsidRPr="00837120">
              <w:rPr>
                <w:b/>
              </w:rPr>
              <w:t>URO</w:t>
            </w:r>
            <w:r w:rsidRPr="00837120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60 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0F14C6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t>p</w:t>
            </w:r>
            <w:r w:rsidRPr="00837120">
              <w:rPr>
                <w:lang w:val="uk-UA"/>
              </w:rPr>
              <w:t>-діетиламінобензальдегід</w:t>
            </w:r>
          </w:p>
          <w:p w:rsidR="00AF3DE5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Буфер, нереагуючі інгредієнти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AF3DE5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2.5%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97.5%</w:t>
            </w:r>
          </w:p>
        </w:tc>
        <w:tc>
          <w:tcPr>
            <w:tcW w:w="2338" w:type="dxa"/>
          </w:tcPr>
          <w:p w:rsidR="00424EB0" w:rsidRPr="00837120" w:rsidRDefault="00424EB0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Виявлення уробіліногену у концентрації нижче за 0.2-1.0 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</w:t>
            </w:r>
          </w:p>
          <w:p w:rsidR="000F14C6" w:rsidRPr="00837120" w:rsidRDefault="00424EB0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(3.5-17 </w:t>
            </w:r>
            <w:proofErr w:type="spellStart"/>
            <w:r w:rsidRPr="00837120">
              <w:rPr>
                <w:lang w:val="uk-UA"/>
              </w:rPr>
              <w:t>мкмоль</w:t>
            </w:r>
            <w:proofErr w:type="spellEnd"/>
            <w:r w:rsidRPr="00837120">
              <w:rPr>
                <w:lang w:val="uk-UA"/>
              </w:rPr>
              <w:t>/Л)</w:t>
            </w:r>
          </w:p>
        </w:tc>
      </w:tr>
      <w:tr w:rsidR="000F14C6" w:rsidRPr="001B38F0" w:rsidTr="00F37EC6">
        <w:tc>
          <w:tcPr>
            <w:tcW w:w="1555" w:type="dxa"/>
            <w:vAlign w:val="center"/>
          </w:tcPr>
          <w:p w:rsidR="000F14C6" w:rsidRPr="00F52359" w:rsidRDefault="000F14C6" w:rsidP="00837120">
            <w:pPr>
              <w:spacing w:line="276" w:lineRule="auto"/>
              <w:rPr>
                <w:b/>
                <w:lang w:val="uk-UA"/>
              </w:rPr>
            </w:pPr>
            <w:r w:rsidRPr="00F52359">
              <w:rPr>
                <w:b/>
                <w:lang w:val="uk-UA"/>
              </w:rPr>
              <w:t>Нітрити (</w:t>
            </w:r>
            <w:r w:rsidRPr="00F52359">
              <w:rPr>
                <w:b/>
              </w:rPr>
              <w:t>NIT</w:t>
            </w:r>
            <w:r w:rsidRPr="00F52359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60 секунд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0F14C6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р-арсанілова кислота</w:t>
            </w:r>
          </w:p>
          <w:p w:rsidR="00AF3DE5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Нереагуючі інгредієнти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AF3DE5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4.5%</w:t>
            </w:r>
          </w:p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95.5%</w:t>
            </w:r>
          </w:p>
        </w:tc>
        <w:tc>
          <w:tcPr>
            <w:tcW w:w="2338" w:type="dxa"/>
          </w:tcPr>
          <w:p w:rsidR="000F14C6" w:rsidRPr="00837120" w:rsidRDefault="00424EB0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Виявлення натрію нітриту у концентрації нижче за 0.05-0.1 мг/</w:t>
            </w:r>
            <w:proofErr w:type="spellStart"/>
            <w:r w:rsidRPr="00837120">
              <w:rPr>
                <w:lang w:val="uk-UA"/>
              </w:rPr>
              <w:t>дЛ</w:t>
            </w:r>
            <w:proofErr w:type="spellEnd"/>
            <w:r w:rsidRPr="00837120">
              <w:rPr>
                <w:lang w:val="uk-UA"/>
              </w:rPr>
              <w:t xml:space="preserve"> у зразках сечі з низькою питомою вагою та </w:t>
            </w:r>
            <w:r w:rsidR="00F37EC6" w:rsidRPr="00837120">
              <w:rPr>
                <w:lang w:val="uk-UA"/>
              </w:rPr>
              <w:t>вмістом аскорбінової кислоти менш, ніж 30 мг/</w:t>
            </w:r>
            <w:proofErr w:type="spellStart"/>
            <w:r w:rsidR="00F37EC6" w:rsidRPr="00837120">
              <w:rPr>
                <w:lang w:val="uk-UA"/>
              </w:rPr>
              <w:t>дЛ</w:t>
            </w:r>
            <w:proofErr w:type="spellEnd"/>
          </w:p>
        </w:tc>
      </w:tr>
      <w:tr w:rsidR="000F14C6" w:rsidRPr="00837120" w:rsidTr="00F37EC6">
        <w:tc>
          <w:tcPr>
            <w:tcW w:w="1555" w:type="dxa"/>
            <w:vAlign w:val="center"/>
          </w:tcPr>
          <w:p w:rsidR="000F14C6" w:rsidRPr="00F52359" w:rsidRDefault="000F14C6" w:rsidP="00837120">
            <w:pPr>
              <w:spacing w:line="276" w:lineRule="auto"/>
              <w:rPr>
                <w:b/>
                <w:lang w:val="uk-UA"/>
              </w:rPr>
            </w:pPr>
            <w:r w:rsidRPr="00F52359">
              <w:rPr>
                <w:b/>
                <w:lang w:val="uk-UA"/>
              </w:rPr>
              <w:t>Лейкоцити (</w:t>
            </w:r>
            <w:r w:rsidRPr="00F52359">
              <w:rPr>
                <w:b/>
              </w:rPr>
              <w:t>LEU</w:t>
            </w:r>
            <w:r w:rsidRPr="00F52359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0F14C6" w:rsidRPr="00837120" w:rsidRDefault="000F14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120 секунд</w:t>
            </w:r>
          </w:p>
        </w:tc>
        <w:tc>
          <w:tcPr>
            <w:tcW w:w="2976" w:type="dxa"/>
            <w:tcBorders>
              <w:right w:val="nil"/>
            </w:tcBorders>
          </w:tcPr>
          <w:p w:rsidR="000F14C6" w:rsidRPr="00837120" w:rsidRDefault="00AF3DE5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Дериватизований ефір амінокислоти піразолу</w:t>
            </w:r>
          </w:p>
          <w:p w:rsidR="008F1ECA" w:rsidRPr="00837120" w:rsidRDefault="008F1ECA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Діазонієва сіль</w:t>
            </w:r>
          </w:p>
          <w:p w:rsidR="008F1ECA" w:rsidRPr="00837120" w:rsidRDefault="008F1ECA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>Буфер</w:t>
            </w:r>
          </w:p>
          <w:p w:rsidR="008F1ECA" w:rsidRPr="00837120" w:rsidRDefault="008F1ECA" w:rsidP="00837120">
            <w:pPr>
              <w:spacing w:line="276" w:lineRule="auto"/>
            </w:pPr>
            <w:r w:rsidRPr="00837120">
              <w:rPr>
                <w:lang w:val="uk-UA"/>
              </w:rPr>
              <w:t>Нереагуючі інгредієнти</w:t>
            </w:r>
          </w:p>
        </w:tc>
        <w:tc>
          <w:tcPr>
            <w:tcW w:w="780" w:type="dxa"/>
            <w:tcBorders>
              <w:left w:val="nil"/>
            </w:tcBorders>
          </w:tcPr>
          <w:p w:rsidR="00AF3DE5" w:rsidRPr="00837120" w:rsidRDefault="00AF3DE5" w:rsidP="00837120">
            <w:pPr>
              <w:spacing w:line="276" w:lineRule="auto"/>
            </w:pPr>
            <w:r w:rsidRPr="00837120">
              <w:t>0.5%</w:t>
            </w:r>
          </w:p>
          <w:p w:rsidR="00AF3DE5" w:rsidRPr="00837120" w:rsidRDefault="00AF3DE5" w:rsidP="00837120">
            <w:pPr>
              <w:spacing w:line="276" w:lineRule="auto"/>
            </w:pPr>
          </w:p>
          <w:p w:rsidR="00AF3DE5" w:rsidRPr="00837120" w:rsidRDefault="00AF3DE5" w:rsidP="00837120">
            <w:pPr>
              <w:spacing w:line="276" w:lineRule="auto"/>
            </w:pPr>
            <w:r w:rsidRPr="00837120">
              <w:t>0.4%</w:t>
            </w:r>
          </w:p>
          <w:p w:rsidR="000F14C6" w:rsidRPr="00837120" w:rsidRDefault="000F14C6" w:rsidP="00837120">
            <w:pPr>
              <w:spacing w:line="276" w:lineRule="auto"/>
            </w:pPr>
            <w:r w:rsidRPr="00837120">
              <w:t>32%</w:t>
            </w:r>
          </w:p>
          <w:p w:rsidR="000F14C6" w:rsidRPr="00837120" w:rsidRDefault="000F14C6" w:rsidP="00837120">
            <w:pPr>
              <w:spacing w:line="276" w:lineRule="auto"/>
            </w:pPr>
            <w:r w:rsidRPr="00837120">
              <w:t>67.1%</w:t>
            </w:r>
          </w:p>
        </w:tc>
        <w:tc>
          <w:tcPr>
            <w:tcW w:w="2338" w:type="dxa"/>
          </w:tcPr>
          <w:p w:rsidR="000F14C6" w:rsidRPr="00837120" w:rsidRDefault="00F37EC6" w:rsidP="00837120">
            <w:pPr>
              <w:spacing w:line="276" w:lineRule="auto"/>
              <w:rPr>
                <w:lang w:val="uk-UA"/>
              </w:rPr>
            </w:pPr>
            <w:r w:rsidRPr="00837120">
              <w:rPr>
                <w:lang w:val="uk-UA"/>
              </w:rPr>
              <w:t xml:space="preserve">Виявлення лейкоцитів у кількості 10-25 клітин </w:t>
            </w:r>
            <w:proofErr w:type="spellStart"/>
            <w:r w:rsidRPr="00837120">
              <w:t>Leu</w:t>
            </w:r>
            <w:proofErr w:type="spellEnd"/>
            <w:r w:rsidRPr="00837120">
              <w:t>/</w:t>
            </w:r>
            <w:proofErr w:type="spellStart"/>
            <w:r w:rsidRPr="00837120">
              <w:rPr>
                <w:lang w:val="ru-RU"/>
              </w:rPr>
              <w:t>мкмольЛ</w:t>
            </w:r>
            <w:proofErr w:type="spellEnd"/>
            <w:r w:rsidRPr="00837120">
              <w:t xml:space="preserve"> </w:t>
            </w:r>
            <w:r w:rsidRPr="00837120">
              <w:rPr>
                <w:lang w:val="uk-UA"/>
              </w:rPr>
              <w:t>у клінічному аналізі сечі</w:t>
            </w:r>
          </w:p>
        </w:tc>
      </w:tr>
    </w:tbl>
    <w:p w:rsidR="003F7FBB" w:rsidRPr="00837120" w:rsidRDefault="003F7FBB" w:rsidP="00837120">
      <w:pPr>
        <w:spacing w:line="276" w:lineRule="auto"/>
      </w:pPr>
    </w:p>
    <w:p w:rsidR="002E7C52" w:rsidRPr="00837120" w:rsidRDefault="002E7C52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Характеристики тестових смужок для аналізу сечі (Сеча) були визначені як у лабораторних, так і клінічних випробуваннях. </w:t>
      </w:r>
      <w:r w:rsidR="00046D91" w:rsidRPr="00837120">
        <w:rPr>
          <w:lang w:val="uk-UA"/>
        </w:rPr>
        <w:t xml:space="preserve">Параметрами, важливими для користувача, є чутливість, специфічність та точність. Тест є специфічним для вимірювальних параметрів, за </w:t>
      </w:r>
      <w:r w:rsidR="00B70046" w:rsidRPr="00837120">
        <w:rPr>
          <w:lang w:val="uk-UA"/>
        </w:rPr>
        <w:t xml:space="preserve">винятком </w:t>
      </w:r>
      <w:r w:rsidR="00046D91" w:rsidRPr="00837120">
        <w:rPr>
          <w:lang w:val="uk-UA"/>
        </w:rPr>
        <w:t xml:space="preserve">перелічених похибок. Будь ласка, зверніться до розділу </w:t>
      </w:r>
      <w:r w:rsidR="003F1E9D" w:rsidRPr="00837120">
        <w:rPr>
          <w:lang w:val="uk-UA"/>
        </w:rPr>
        <w:t>ОБМЕ</w:t>
      </w:r>
      <w:r w:rsidR="00046D91" w:rsidRPr="00837120">
        <w:rPr>
          <w:lang w:val="uk-UA"/>
        </w:rPr>
        <w:t xml:space="preserve">ЖЕННЯ. </w:t>
      </w:r>
    </w:p>
    <w:p w:rsidR="00B70046" w:rsidRPr="00837120" w:rsidRDefault="00B70046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Тлумачення візуальних результатів залежить від кількох факторів: варіабельність сприйняття кольорів, наявність або відсутність інгібіторів, а також умов освітлення під час зчитування тесту. Кожний колір на кольоровій шкалі відповідає визначеному діапазону концентрацій аналіту. </w:t>
      </w:r>
    </w:p>
    <w:p w:rsidR="003F1E9D" w:rsidRPr="00F52359" w:rsidRDefault="003F1E9D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ЗАСТЕРЕЖЕННЯ</w:t>
      </w:r>
    </w:p>
    <w:p w:rsidR="003F1E9D" w:rsidRPr="00F52359" w:rsidRDefault="003F1E9D" w:rsidP="00F5235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Тільки для </w:t>
      </w:r>
      <w:r w:rsidRPr="00837120">
        <w:t>in</w:t>
      </w:r>
      <w:r w:rsidRPr="00F52359">
        <w:rPr>
          <w:lang w:val="ru-RU"/>
        </w:rPr>
        <w:t xml:space="preserve"> </w:t>
      </w:r>
      <w:r w:rsidRPr="00837120">
        <w:t>vitro</w:t>
      </w:r>
      <w:r w:rsidRPr="00F52359">
        <w:rPr>
          <w:lang w:val="ru-RU"/>
        </w:rPr>
        <w:t xml:space="preserve"> </w:t>
      </w:r>
      <w:r w:rsidRPr="00F52359">
        <w:rPr>
          <w:lang w:val="uk-UA"/>
        </w:rPr>
        <w:t xml:space="preserve">діагностики. Не використовувати після закінчення терміну придатності. </w:t>
      </w:r>
    </w:p>
    <w:p w:rsidR="003F1E9D" w:rsidRPr="00F52359" w:rsidRDefault="003F1E9D" w:rsidP="00F5235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Тестові смужки мають зберігатися у закритому контейнері до використання. </w:t>
      </w:r>
    </w:p>
    <w:p w:rsidR="003F1E9D" w:rsidRPr="00F52359" w:rsidRDefault="003F1E9D" w:rsidP="00F5235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Не торкатися реакційної зони тестової смужки. </w:t>
      </w:r>
    </w:p>
    <w:p w:rsidR="003F1E9D" w:rsidRPr="00F52359" w:rsidRDefault="003F1E9D" w:rsidP="00F5235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Не використовувати будь-яким чином пошкоджені тестові смужки. </w:t>
      </w:r>
    </w:p>
    <w:p w:rsidR="003F1E9D" w:rsidRPr="00F52359" w:rsidRDefault="003F1E9D" w:rsidP="00F5235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F52359">
        <w:rPr>
          <w:lang w:val="uk-UA"/>
        </w:rPr>
        <w:t>Усі зразки вважаються потенційно небезпечними та мають бути зн</w:t>
      </w:r>
      <w:r w:rsidR="00F35A1B" w:rsidRPr="00F52359">
        <w:rPr>
          <w:lang w:val="uk-UA"/>
        </w:rPr>
        <w:t xml:space="preserve">езаражені, як інфіковані </w:t>
      </w:r>
      <w:r w:rsidRPr="00F52359">
        <w:rPr>
          <w:lang w:val="uk-UA"/>
        </w:rPr>
        <w:t>агент</w:t>
      </w:r>
      <w:r w:rsidR="00F35A1B" w:rsidRPr="00F52359">
        <w:rPr>
          <w:lang w:val="uk-UA"/>
        </w:rPr>
        <w:t>и</w:t>
      </w:r>
      <w:r w:rsidRPr="00F52359">
        <w:rPr>
          <w:lang w:val="uk-UA"/>
        </w:rPr>
        <w:t xml:space="preserve">. </w:t>
      </w:r>
    </w:p>
    <w:p w:rsidR="003F1E9D" w:rsidRPr="00F52359" w:rsidRDefault="003F1E9D" w:rsidP="00F5235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Після використання тестова смужка повинна утилізуватися згідно з місцевими правилами.   </w:t>
      </w:r>
      <w:r w:rsidR="00126D39" w:rsidRPr="00F52359">
        <w:rPr>
          <w:lang w:val="uk-UA"/>
        </w:rPr>
        <w:t xml:space="preserve"> </w:t>
      </w:r>
    </w:p>
    <w:p w:rsidR="00126D39" w:rsidRPr="00F52359" w:rsidRDefault="00126D39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СТАБІЛЬНІСТЬ ТА УМОВИ ЗБЕРІГАННЯ</w:t>
      </w:r>
    </w:p>
    <w:p w:rsidR="00F35A1B" w:rsidRPr="00F52359" w:rsidRDefault="00126D39" w:rsidP="00F52359">
      <w:pPr>
        <w:pStyle w:val="a4"/>
        <w:numPr>
          <w:ilvl w:val="0"/>
          <w:numId w:val="7"/>
        </w:numPr>
        <w:spacing w:line="276" w:lineRule="auto"/>
        <w:rPr>
          <w:lang w:val="uk-UA"/>
        </w:rPr>
      </w:pPr>
      <w:r w:rsidRPr="00F52359">
        <w:rPr>
          <w:lang w:val="uk-UA"/>
        </w:rPr>
        <w:lastRenderedPageBreak/>
        <w:t>Тестові смужки слід зберігати у щільно зачиненому контейнері при кімнатній температурі або в холодильнику (2-30</w:t>
      </w:r>
      <w:r w:rsidRPr="00F52359">
        <w:rPr>
          <w:vertAlign w:val="superscript"/>
          <w:lang w:val="uk-UA"/>
        </w:rPr>
        <w:t>0</w:t>
      </w:r>
      <w:r w:rsidRPr="00F52359">
        <w:rPr>
          <w:lang w:val="uk-UA"/>
        </w:rPr>
        <w:t xml:space="preserve">С). </w:t>
      </w:r>
    </w:p>
    <w:p w:rsidR="00F35A1B" w:rsidRPr="00F52359" w:rsidRDefault="00126D39" w:rsidP="00F52359">
      <w:pPr>
        <w:pStyle w:val="a4"/>
        <w:numPr>
          <w:ilvl w:val="0"/>
          <w:numId w:val="7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Уникати потрапляння прямого сонячного світла. </w:t>
      </w:r>
    </w:p>
    <w:p w:rsidR="00F35A1B" w:rsidRPr="00F52359" w:rsidRDefault="00126D39" w:rsidP="00F52359">
      <w:pPr>
        <w:pStyle w:val="a4"/>
        <w:numPr>
          <w:ilvl w:val="0"/>
          <w:numId w:val="7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Тестова смужка є стабільною до завершення </w:t>
      </w:r>
      <w:r w:rsidR="00F35A1B" w:rsidRPr="00F52359">
        <w:rPr>
          <w:lang w:val="uk-UA"/>
        </w:rPr>
        <w:t>терміну придатності, щ</w:t>
      </w:r>
      <w:r w:rsidRPr="00F52359">
        <w:rPr>
          <w:lang w:val="uk-UA"/>
        </w:rPr>
        <w:t xml:space="preserve">о </w:t>
      </w:r>
      <w:r w:rsidR="00F35A1B" w:rsidRPr="00F52359">
        <w:rPr>
          <w:lang w:val="uk-UA"/>
        </w:rPr>
        <w:t xml:space="preserve">зазначено </w:t>
      </w:r>
      <w:r w:rsidRPr="00F52359">
        <w:rPr>
          <w:lang w:val="uk-UA"/>
        </w:rPr>
        <w:t xml:space="preserve">на етикетці. </w:t>
      </w:r>
    </w:p>
    <w:p w:rsidR="00F35A1B" w:rsidRPr="00F52359" w:rsidRDefault="00126D39" w:rsidP="00F52359">
      <w:pPr>
        <w:pStyle w:val="a4"/>
        <w:numPr>
          <w:ilvl w:val="0"/>
          <w:numId w:val="7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Не </w:t>
      </w:r>
      <w:r w:rsidR="00F35A1B" w:rsidRPr="00F52359">
        <w:rPr>
          <w:lang w:val="uk-UA"/>
        </w:rPr>
        <w:t xml:space="preserve">виймати осушувач. </w:t>
      </w:r>
    </w:p>
    <w:p w:rsidR="00F35A1B" w:rsidRPr="00F52359" w:rsidRDefault="00F35A1B" w:rsidP="00F52359">
      <w:pPr>
        <w:pStyle w:val="a4"/>
        <w:numPr>
          <w:ilvl w:val="0"/>
          <w:numId w:val="7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Безпосередньо перед використанням виймати </w:t>
      </w:r>
      <w:r w:rsidR="00126D39" w:rsidRPr="00F52359">
        <w:rPr>
          <w:lang w:val="uk-UA"/>
        </w:rPr>
        <w:t>необ</w:t>
      </w:r>
      <w:r w:rsidRPr="00F52359">
        <w:rPr>
          <w:lang w:val="uk-UA"/>
        </w:rPr>
        <w:t xml:space="preserve">хідну кількість тестових смужок, а потім негайно й щільно зачинити контейнер кришкою.  </w:t>
      </w:r>
    </w:p>
    <w:p w:rsidR="00F35A1B" w:rsidRPr="00F52359" w:rsidRDefault="00F35A1B" w:rsidP="00F52359">
      <w:pPr>
        <w:pStyle w:val="a4"/>
        <w:numPr>
          <w:ilvl w:val="0"/>
          <w:numId w:val="7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НЕ ЗАМОРОЖУВАТИ. </w:t>
      </w:r>
    </w:p>
    <w:p w:rsidR="00126D39" w:rsidRPr="00F52359" w:rsidRDefault="000A37A2" w:rsidP="00F52359">
      <w:pPr>
        <w:pStyle w:val="a4"/>
        <w:numPr>
          <w:ilvl w:val="0"/>
          <w:numId w:val="7"/>
        </w:numPr>
        <w:spacing w:line="276" w:lineRule="auto"/>
        <w:rPr>
          <w:lang w:val="uk-UA"/>
        </w:rPr>
      </w:pPr>
      <w:r w:rsidRPr="00F52359">
        <w:rPr>
          <w:lang w:val="uk-UA"/>
        </w:rPr>
        <w:t>Не використовувати після закінчення</w:t>
      </w:r>
      <w:r w:rsidR="00F35A1B" w:rsidRPr="00F52359">
        <w:rPr>
          <w:lang w:val="uk-UA"/>
        </w:rPr>
        <w:t xml:space="preserve"> терміну придатності. </w:t>
      </w:r>
    </w:p>
    <w:p w:rsidR="00F35A1B" w:rsidRPr="00837120" w:rsidRDefault="00F35A1B" w:rsidP="00837120">
      <w:pPr>
        <w:spacing w:line="276" w:lineRule="auto"/>
        <w:rPr>
          <w:lang w:val="uk-UA"/>
        </w:rPr>
      </w:pPr>
      <w:r w:rsidRPr="00F52359">
        <w:rPr>
          <w:b/>
          <w:i/>
          <w:u w:val="single"/>
          <w:lang w:val="uk-UA"/>
        </w:rPr>
        <w:t>Примітка:</w:t>
      </w:r>
      <w:r w:rsidRPr="00F52359">
        <w:rPr>
          <w:b/>
          <w:u w:val="single"/>
          <w:lang w:val="uk-UA"/>
        </w:rPr>
        <w:t xml:space="preserve"> </w:t>
      </w:r>
      <w:r w:rsidRPr="00837120">
        <w:rPr>
          <w:lang w:val="uk-UA"/>
        </w:rPr>
        <w:t>Тестові смужки у відчиненому контейнері залишаються стабільними протягом 3</w:t>
      </w:r>
      <w:r w:rsidR="000A37A2" w:rsidRPr="00837120">
        <w:rPr>
          <w:lang w:val="uk-UA"/>
        </w:rPr>
        <w:t>-х</w:t>
      </w:r>
      <w:r w:rsidRPr="00837120">
        <w:rPr>
          <w:lang w:val="uk-UA"/>
        </w:rPr>
        <w:t xml:space="preserve"> місяців. Стабільність може бути зменшена в умовах підвищеної вологості. </w:t>
      </w:r>
    </w:p>
    <w:p w:rsidR="000A37A2" w:rsidRPr="00F52359" w:rsidRDefault="001D7E6F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 xml:space="preserve">ЗАБІР ТА ПРИГОТУВАННЯ ЗРАЗКІВ </w:t>
      </w:r>
    </w:p>
    <w:p w:rsidR="001D7E6F" w:rsidRPr="00837120" w:rsidRDefault="001D7E6F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Зразок сечі збирають у сухий чистий контейнер і передають на тестування якомога швидше. </w:t>
      </w:r>
      <w:r w:rsidR="003234A6" w:rsidRPr="00837120">
        <w:rPr>
          <w:lang w:val="uk-UA"/>
        </w:rPr>
        <w:t xml:space="preserve">Не центрифугувати. Не додавати консерванти. Якщо тестування не може бути проведене протягом однієї години після забору сечі, зразок необхідно поставити до холодильника, а перед тестуванням зігріти при кімнатній температурі. </w:t>
      </w:r>
    </w:p>
    <w:p w:rsidR="008917DA" w:rsidRPr="00837120" w:rsidRDefault="003234A6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Тривале зберігання зразку без консервантів при кімнатній температурі призводить до розмноження мікроорганізмів у сечі, що може змінити показники </w:t>
      </w:r>
      <w:proofErr w:type="spellStart"/>
      <w:r w:rsidRPr="00837120">
        <w:rPr>
          <w:lang w:val="uk-UA"/>
        </w:rPr>
        <w:t>рН</w:t>
      </w:r>
      <w:proofErr w:type="spellEnd"/>
      <w:r w:rsidRPr="00837120">
        <w:rPr>
          <w:lang w:val="uk-UA"/>
        </w:rPr>
        <w:t>.</w:t>
      </w:r>
      <w:r w:rsidR="008917DA" w:rsidRPr="00837120">
        <w:rPr>
          <w:lang w:val="uk-UA"/>
        </w:rPr>
        <w:t xml:space="preserve"> Перехід до лужного </w:t>
      </w:r>
      <w:proofErr w:type="spellStart"/>
      <w:r w:rsidR="008917DA" w:rsidRPr="00837120">
        <w:rPr>
          <w:lang w:val="uk-UA"/>
        </w:rPr>
        <w:t>рН</w:t>
      </w:r>
      <w:proofErr w:type="spellEnd"/>
      <w:r w:rsidR="008917DA" w:rsidRPr="00837120">
        <w:rPr>
          <w:lang w:val="uk-UA"/>
        </w:rPr>
        <w:t xml:space="preserve"> може призвести до отримання помилково – позитивного результату у зоні визначення білка. Зразок, що містить глюкозу, може зменшувати показники </w:t>
      </w:r>
      <w:proofErr w:type="spellStart"/>
      <w:r w:rsidR="008917DA" w:rsidRPr="00837120">
        <w:rPr>
          <w:lang w:val="uk-UA"/>
        </w:rPr>
        <w:t>рН</w:t>
      </w:r>
      <w:proofErr w:type="spellEnd"/>
      <w:r w:rsidR="008917DA" w:rsidRPr="00837120">
        <w:rPr>
          <w:lang w:val="uk-UA"/>
        </w:rPr>
        <w:t xml:space="preserve">, оскільки мікроорганізми </w:t>
      </w:r>
      <w:proofErr w:type="spellStart"/>
      <w:r w:rsidR="008917DA" w:rsidRPr="00837120">
        <w:rPr>
          <w:lang w:val="uk-UA"/>
        </w:rPr>
        <w:t>метаболізують</w:t>
      </w:r>
      <w:proofErr w:type="spellEnd"/>
      <w:r w:rsidR="008917DA" w:rsidRPr="00837120">
        <w:rPr>
          <w:lang w:val="uk-UA"/>
        </w:rPr>
        <w:t xml:space="preserve"> глюкозу. </w:t>
      </w:r>
    </w:p>
    <w:p w:rsidR="008917DA" w:rsidRPr="00837120" w:rsidRDefault="008917DA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Забруднення зразків сечі очищувачами шкіри, що містять хлоргексидин, може вплинути на </w:t>
      </w:r>
      <w:r w:rsidR="00CE74F7" w:rsidRPr="00837120">
        <w:rPr>
          <w:lang w:val="uk-UA"/>
        </w:rPr>
        <w:t xml:space="preserve">результати визначення білка (та в меншій мірі, питомої ваги та білірубіну). </w:t>
      </w:r>
    </w:p>
    <w:p w:rsidR="006873CE" w:rsidRPr="00F52359" w:rsidRDefault="006873CE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МАТЕРІАЛИ</w:t>
      </w:r>
    </w:p>
    <w:p w:rsidR="006873CE" w:rsidRPr="00837120" w:rsidRDefault="006873CE" w:rsidP="00837120">
      <w:pPr>
        <w:spacing w:line="276" w:lineRule="auto"/>
        <w:rPr>
          <w:i/>
          <w:u w:val="single"/>
          <w:lang w:val="uk-UA"/>
        </w:rPr>
      </w:pPr>
      <w:r w:rsidRPr="00837120">
        <w:rPr>
          <w:i/>
          <w:u w:val="single"/>
          <w:lang w:val="uk-UA"/>
        </w:rPr>
        <w:t xml:space="preserve">Матеріали, що надаються: </w:t>
      </w:r>
    </w:p>
    <w:p w:rsidR="006873CE" w:rsidRPr="00F52359" w:rsidRDefault="006873CE" w:rsidP="00F52359">
      <w:pPr>
        <w:pStyle w:val="a4"/>
        <w:numPr>
          <w:ilvl w:val="0"/>
          <w:numId w:val="8"/>
        </w:numPr>
        <w:spacing w:line="276" w:lineRule="auto"/>
        <w:rPr>
          <w:lang w:val="uk-UA"/>
        </w:rPr>
      </w:pPr>
      <w:r w:rsidRPr="00F52359">
        <w:rPr>
          <w:lang w:val="uk-UA"/>
        </w:rPr>
        <w:t>Тестові смужки</w:t>
      </w:r>
    </w:p>
    <w:p w:rsidR="006873CE" w:rsidRPr="00F52359" w:rsidRDefault="006873CE" w:rsidP="00F52359">
      <w:pPr>
        <w:pStyle w:val="a4"/>
        <w:numPr>
          <w:ilvl w:val="0"/>
          <w:numId w:val="8"/>
        </w:numPr>
        <w:spacing w:line="276" w:lineRule="auto"/>
        <w:rPr>
          <w:lang w:val="uk-UA"/>
        </w:rPr>
      </w:pPr>
      <w:r w:rsidRPr="00F52359">
        <w:rPr>
          <w:lang w:val="uk-UA"/>
        </w:rPr>
        <w:t>Специфікація</w:t>
      </w:r>
    </w:p>
    <w:p w:rsidR="006873CE" w:rsidRPr="00837120" w:rsidRDefault="006873CE" w:rsidP="00837120">
      <w:pPr>
        <w:spacing w:line="276" w:lineRule="auto"/>
        <w:rPr>
          <w:i/>
          <w:u w:val="single"/>
          <w:lang w:val="uk-UA"/>
        </w:rPr>
      </w:pPr>
      <w:r w:rsidRPr="00837120">
        <w:rPr>
          <w:i/>
          <w:u w:val="single"/>
          <w:lang w:val="uk-UA"/>
        </w:rPr>
        <w:t xml:space="preserve">Необхідні матеріали, що не надаються: </w:t>
      </w:r>
    </w:p>
    <w:p w:rsidR="006873CE" w:rsidRPr="00F52359" w:rsidRDefault="006873CE" w:rsidP="00F52359">
      <w:pPr>
        <w:pStyle w:val="a4"/>
        <w:numPr>
          <w:ilvl w:val="0"/>
          <w:numId w:val="9"/>
        </w:numPr>
        <w:spacing w:line="276" w:lineRule="auto"/>
        <w:rPr>
          <w:lang w:val="uk-UA"/>
        </w:rPr>
      </w:pPr>
      <w:r w:rsidRPr="00F52359">
        <w:rPr>
          <w:lang w:val="uk-UA"/>
        </w:rPr>
        <w:t>Контейнер для забору зразків</w:t>
      </w:r>
    </w:p>
    <w:p w:rsidR="006873CE" w:rsidRPr="00F52359" w:rsidRDefault="006873CE" w:rsidP="00F52359">
      <w:pPr>
        <w:pStyle w:val="a4"/>
        <w:numPr>
          <w:ilvl w:val="0"/>
          <w:numId w:val="9"/>
        </w:numPr>
        <w:spacing w:line="276" w:lineRule="auto"/>
        <w:rPr>
          <w:lang w:val="uk-UA"/>
        </w:rPr>
      </w:pPr>
      <w:r w:rsidRPr="00F52359">
        <w:rPr>
          <w:lang w:val="uk-UA"/>
        </w:rPr>
        <w:t>Таймер</w:t>
      </w:r>
      <w:r w:rsidR="00043632" w:rsidRPr="00F52359">
        <w:rPr>
          <w:lang w:val="uk-UA"/>
        </w:rPr>
        <w:t xml:space="preserve"> </w:t>
      </w:r>
    </w:p>
    <w:p w:rsidR="00043632" w:rsidRPr="00F52359" w:rsidRDefault="00DC5525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КЕРІВНИЦТВО З ВИКОРИСТАННЯ</w:t>
      </w:r>
    </w:p>
    <w:p w:rsidR="00DC5525" w:rsidRPr="00F52359" w:rsidRDefault="00DC5525" w:rsidP="00F52359">
      <w:pPr>
        <w:pStyle w:val="a4"/>
        <w:numPr>
          <w:ilvl w:val="0"/>
          <w:numId w:val="10"/>
        </w:numPr>
        <w:spacing w:line="276" w:lineRule="auto"/>
        <w:rPr>
          <w:lang w:val="uk-UA"/>
        </w:rPr>
      </w:pPr>
      <w:r w:rsidRPr="00F52359">
        <w:rPr>
          <w:lang w:val="uk-UA"/>
        </w:rPr>
        <w:t>Тестову смужку, зразок сечі та/або контроль необхідно зігріти при кімнатній температурі (15–30</w:t>
      </w:r>
      <w:r w:rsidRPr="00F52359">
        <w:rPr>
          <w:vertAlign w:val="superscript"/>
          <w:lang w:val="uk-UA"/>
        </w:rPr>
        <w:t>0</w:t>
      </w:r>
      <w:r w:rsidRPr="00F52359">
        <w:rPr>
          <w:lang w:val="uk-UA"/>
        </w:rPr>
        <w:t xml:space="preserve">С) перед тестуванням. </w:t>
      </w:r>
    </w:p>
    <w:p w:rsidR="00836270" w:rsidRPr="00F52359" w:rsidRDefault="00DC5525" w:rsidP="00F52359">
      <w:pPr>
        <w:pStyle w:val="a4"/>
        <w:numPr>
          <w:ilvl w:val="0"/>
          <w:numId w:val="10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Вийняти </w:t>
      </w:r>
      <w:r w:rsidR="00FE272E" w:rsidRPr="00F52359">
        <w:rPr>
          <w:lang w:val="uk-UA"/>
        </w:rPr>
        <w:t>необхідну кількість тестових смужок</w:t>
      </w:r>
      <w:r w:rsidRPr="00F52359">
        <w:rPr>
          <w:lang w:val="uk-UA"/>
        </w:rPr>
        <w:t xml:space="preserve"> з контейнера </w:t>
      </w:r>
      <w:r w:rsidR="00FE272E" w:rsidRPr="00F52359">
        <w:rPr>
          <w:lang w:val="uk-UA"/>
        </w:rPr>
        <w:t>й</w:t>
      </w:r>
      <w:r w:rsidRPr="00F52359">
        <w:rPr>
          <w:lang w:val="uk-UA"/>
        </w:rPr>
        <w:t xml:space="preserve"> </w:t>
      </w:r>
      <w:r w:rsidR="00FE272E" w:rsidRPr="00F52359">
        <w:rPr>
          <w:lang w:val="uk-UA"/>
        </w:rPr>
        <w:t xml:space="preserve">одразу щільно його закрити. </w:t>
      </w:r>
    </w:p>
    <w:p w:rsidR="00733C47" w:rsidRPr="00F52359" w:rsidRDefault="00836270" w:rsidP="00F52359">
      <w:pPr>
        <w:pStyle w:val="a4"/>
        <w:numPr>
          <w:ilvl w:val="0"/>
          <w:numId w:val="10"/>
        </w:numPr>
        <w:spacing w:line="276" w:lineRule="auto"/>
        <w:rPr>
          <w:lang w:val="uk-UA"/>
        </w:rPr>
      </w:pPr>
      <w:r w:rsidRPr="00F52359">
        <w:rPr>
          <w:lang w:val="uk-UA"/>
        </w:rPr>
        <w:lastRenderedPageBreak/>
        <w:t xml:space="preserve">Починайте тестування якомога швидше. </w:t>
      </w:r>
    </w:p>
    <w:p w:rsidR="00DC5525" w:rsidRPr="00F52359" w:rsidRDefault="00FE272E" w:rsidP="00F52359">
      <w:pPr>
        <w:pStyle w:val="a4"/>
        <w:numPr>
          <w:ilvl w:val="0"/>
          <w:numId w:val="10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Повністю занурити тестові зони смужки у зразок свіжої, ретельно змішаної сечі й одразу ж вийняти смужку, щоб уникнути розчинення реагентів. </w:t>
      </w:r>
      <w:r w:rsidR="001A2028" w:rsidRPr="00F52359">
        <w:rPr>
          <w:lang w:val="uk-UA"/>
        </w:rPr>
        <w:t xml:space="preserve">Дивіться Малюнок 1. </w:t>
      </w:r>
    </w:p>
    <w:p w:rsidR="00733C47" w:rsidRPr="00F52359" w:rsidRDefault="00733C47" w:rsidP="00F52359">
      <w:pPr>
        <w:pStyle w:val="a4"/>
        <w:numPr>
          <w:ilvl w:val="0"/>
          <w:numId w:val="10"/>
        </w:numPr>
        <w:spacing w:line="276" w:lineRule="auto"/>
        <w:rPr>
          <w:lang w:val="uk-UA"/>
        </w:rPr>
      </w:pPr>
      <w:r w:rsidRPr="00F52359">
        <w:rPr>
          <w:lang w:val="uk-UA"/>
        </w:rPr>
        <w:t xml:space="preserve">Виймаючи смужку із сечі, провести нею о край контейнера, щоб </w:t>
      </w:r>
      <w:r w:rsidR="001A2028" w:rsidRPr="00F52359">
        <w:rPr>
          <w:lang w:val="uk-UA"/>
        </w:rPr>
        <w:t xml:space="preserve">видалити надлишок сечі. Тримаючи </w:t>
      </w:r>
      <w:r w:rsidRPr="00F52359">
        <w:rPr>
          <w:lang w:val="uk-UA"/>
        </w:rPr>
        <w:t>смужку у горизонтальному стані</w:t>
      </w:r>
      <w:r w:rsidR="001A2028" w:rsidRPr="00F52359">
        <w:rPr>
          <w:lang w:val="uk-UA"/>
        </w:rPr>
        <w:t xml:space="preserve">, піднести до краю смужки абсорбуючий матеріал (наприклад, паперовий рушник), щоб уникнути змішування хімічних речовин із різних тестових зон та/або забруднення рук сечею. Дивіться Малюнок 2. </w:t>
      </w:r>
    </w:p>
    <w:p w:rsidR="001A2028" w:rsidRPr="00837120" w:rsidRDefault="001A2028" w:rsidP="00837120">
      <w:pPr>
        <w:spacing w:line="276" w:lineRule="auto"/>
        <w:rPr>
          <w:lang w:val="uk-UA"/>
        </w:rPr>
      </w:pPr>
      <w:r w:rsidRPr="00F52359">
        <w:rPr>
          <w:b/>
          <w:i/>
          <w:u w:val="single"/>
          <w:lang w:val="uk-UA"/>
        </w:rPr>
        <w:t>Примітка:</w:t>
      </w:r>
      <w:r w:rsidRPr="00837120">
        <w:rPr>
          <w:lang w:val="uk-UA"/>
        </w:rPr>
        <w:t xml:space="preserve"> Результати можна зчитувати протягом 2 хвилин після зазначеного часу. </w:t>
      </w:r>
    </w:p>
    <w:p w:rsidR="001A2028" w:rsidRPr="00837120" w:rsidRDefault="001A2028" w:rsidP="00837120">
      <w:pPr>
        <w:spacing w:line="276" w:lineRule="auto"/>
        <w:rPr>
          <w:lang w:val="uk-UA"/>
        </w:rPr>
      </w:pPr>
      <w:r w:rsidRPr="00837120">
        <w:rPr>
          <w:noProof/>
          <w:lang w:val="uk-UA" w:eastAsia="uk-UA"/>
        </w:rPr>
        <w:drawing>
          <wp:inline distT="0" distB="0" distL="0" distR="0">
            <wp:extent cx="585787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28" w:rsidRPr="00F52359" w:rsidRDefault="00536391" w:rsidP="00837120">
      <w:pPr>
        <w:spacing w:line="276" w:lineRule="auto"/>
        <w:rPr>
          <w:b/>
          <w:lang w:val="uk-UA"/>
        </w:rPr>
      </w:pPr>
      <w:bookmarkStart w:id="0" w:name="_GoBack"/>
      <w:r w:rsidRPr="00F52359">
        <w:rPr>
          <w:b/>
          <w:lang w:val="uk-UA"/>
        </w:rPr>
        <w:t xml:space="preserve">ІНТЕРПРЕТАЦІЯ РЕЗУЛЬТАТІВ </w:t>
      </w:r>
    </w:p>
    <w:p w:rsidR="00536391" w:rsidRPr="00837120" w:rsidRDefault="00536391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Результати отримують шляхом </w:t>
      </w:r>
      <w:r w:rsidR="00F52359">
        <w:rPr>
          <w:lang w:val="uk-UA"/>
        </w:rPr>
        <w:t xml:space="preserve">візуального </w:t>
      </w:r>
      <w:r w:rsidRPr="00837120">
        <w:rPr>
          <w:lang w:val="uk-UA"/>
        </w:rPr>
        <w:t xml:space="preserve">порівняння реакційної зони смужки з кольоровою шкалою, надрукованою на етикетці контейнера. Кольорова шкала </w:t>
      </w:r>
      <w:r w:rsidR="00836270" w:rsidRPr="00837120">
        <w:rPr>
          <w:lang w:val="uk-UA"/>
        </w:rPr>
        <w:t xml:space="preserve">відображує номінальні значення; фактичні значення можуть варіювати навколо цих номінальних значень. </w:t>
      </w:r>
    </w:p>
    <w:p w:rsidR="009C5DB9" w:rsidRPr="00837120" w:rsidRDefault="00836270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В разі отримання </w:t>
      </w:r>
      <w:r w:rsidR="009C5DB9" w:rsidRPr="00837120">
        <w:rPr>
          <w:lang w:val="uk-UA"/>
        </w:rPr>
        <w:t xml:space="preserve">сумнівних результатів, рекомендовані наступні кроки: переконатися, що не минув термін придатності, який зазначено на етикетці контейнера; повторити тест за допомогою нової смужки, порівнюючи результати з відомим позитивним чи негативним контролем. </w:t>
      </w:r>
    </w:p>
    <w:p w:rsidR="00836270" w:rsidRPr="00837120" w:rsidRDefault="009C5DB9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Якщо проблема залишається, необхідно припинити використання смужок та звернутися до місцевого дистриб’ютора. </w:t>
      </w:r>
    </w:p>
    <w:p w:rsidR="001E09BB" w:rsidRPr="00F52359" w:rsidRDefault="001E09BB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КОНТРОЛЬ ЯКОСТІ</w:t>
      </w:r>
    </w:p>
    <w:p w:rsidR="001E09BB" w:rsidRPr="00837120" w:rsidRDefault="001E09BB" w:rsidP="00837120">
      <w:pPr>
        <w:spacing w:line="276" w:lineRule="auto"/>
        <w:rPr>
          <w:lang w:val="uk-UA"/>
        </w:rPr>
      </w:pPr>
      <w:r w:rsidRPr="00837120">
        <w:rPr>
          <w:lang w:val="ru-RU"/>
        </w:rPr>
        <w:t xml:space="preserve">Для </w:t>
      </w:r>
      <w:r w:rsidRPr="00837120">
        <w:rPr>
          <w:lang w:val="uk-UA"/>
        </w:rPr>
        <w:t>досягнення найкращих результатів, ефективність тестови</w:t>
      </w:r>
      <w:r w:rsidR="006C24EC" w:rsidRPr="00837120">
        <w:rPr>
          <w:lang w:val="uk-UA"/>
        </w:rPr>
        <w:t xml:space="preserve">х смужок має бути підтверджена шляхом тестування відомих позитивних та негативних зразків/контролів кожного разу перед виконанням нового тесту, або перед використання смужок з нового контейнеру. </w:t>
      </w:r>
    </w:p>
    <w:p w:rsidR="00836270" w:rsidRPr="00837120" w:rsidRDefault="006C24EC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>Кожна лабораторія має встановити власні адекватні стандарти ефективності.</w:t>
      </w:r>
      <w:r w:rsidR="00D136FE" w:rsidRPr="00837120">
        <w:rPr>
          <w:lang w:val="uk-UA"/>
        </w:rPr>
        <w:t xml:space="preserve"> </w:t>
      </w:r>
    </w:p>
    <w:bookmarkEnd w:id="0"/>
    <w:p w:rsidR="00D136FE" w:rsidRPr="00F52359" w:rsidRDefault="00D136FE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ОБМЕЖЕННЯ</w:t>
      </w:r>
    </w:p>
    <w:p w:rsidR="00D136FE" w:rsidRPr="00837120" w:rsidRDefault="00D136FE" w:rsidP="00837120">
      <w:pPr>
        <w:spacing w:line="276" w:lineRule="auto"/>
        <w:rPr>
          <w:lang w:val="uk-UA"/>
        </w:rPr>
      </w:pPr>
      <w:r w:rsidRPr="00F52359">
        <w:rPr>
          <w:b/>
          <w:i/>
          <w:u w:val="single"/>
          <w:lang w:val="uk-UA"/>
        </w:rPr>
        <w:lastRenderedPageBreak/>
        <w:t>Примітка:</w:t>
      </w:r>
      <w:r w:rsidRPr="00837120">
        <w:rPr>
          <w:i/>
          <w:u w:val="single"/>
          <w:lang w:val="uk-UA"/>
        </w:rPr>
        <w:t xml:space="preserve">  </w:t>
      </w:r>
      <w:r w:rsidRPr="00837120">
        <w:rPr>
          <w:lang w:val="uk-UA"/>
        </w:rPr>
        <w:t xml:space="preserve">Як і для будь-яких діагностичних і терапевтичних аналізів, усі отримані результати мають бути розглянуті разом із іншою клінічною інформацією, доступною для лікаря. </w:t>
      </w:r>
    </w:p>
    <w:p w:rsidR="00D136FE" w:rsidRPr="00837120" w:rsidRDefault="00D136FE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Аскорбінова кислота:</w:t>
      </w:r>
      <w:r w:rsidRPr="00837120">
        <w:rPr>
          <w:lang w:val="uk-UA"/>
        </w:rPr>
        <w:t xml:space="preserve"> </w:t>
      </w:r>
      <w:r w:rsidR="00501F87" w:rsidRPr="00837120">
        <w:rPr>
          <w:lang w:val="uk-UA"/>
        </w:rPr>
        <w:t>Про будь-які перешкоди невідомо.</w:t>
      </w:r>
    </w:p>
    <w:p w:rsidR="00D136FE" w:rsidRPr="00837120" w:rsidRDefault="00D136FE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Глюкоза:</w:t>
      </w:r>
      <w:r w:rsidRPr="00837120">
        <w:rPr>
          <w:lang w:val="uk-UA"/>
        </w:rPr>
        <w:t xml:space="preserve"> </w:t>
      </w:r>
      <w:r w:rsidR="00501F87" w:rsidRPr="00837120">
        <w:rPr>
          <w:lang w:val="uk-UA"/>
        </w:rPr>
        <w:t>Цей тест є дуже специфічним для глюкози. Відомо, що жодна речовина, яка виділяється із сечею, не дає позитивного результату. Реакційна зона не реагує з кетонами, лактозою, галактозою, фруктозою чи іншими метаболітами, а також не реагує з метаболітами лікарських засобів (наприклад, саліцилатами чи налідиксовою кислотою). Чутливість може зменшуватися у зразках з високою питомою вагою (&gt;1,025) та концентрацією аскорбінової кислоти 10 мг/</w:t>
      </w:r>
      <w:proofErr w:type="spellStart"/>
      <w:r w:rsidR="00501F87" w:rsidRPr="00837120">
        <w:rPr>
          <w:lang w:val="uk-UA"/>
        </w:rPr>
        <w:t>дЛ</w:t>
      </w:r>
      <w:proofErr w:type="spellEnd"/>
      <w:r w:rsidR="00501F87" w:rsidRPr="00837120">
        <w:rPr>
          <w:lang w:val="uk-UA"/>
        </w:rPr>
        <w:t xml:space="preserve">. </w:t>
      </w:r>
    </w:p>
    <w:p w:rsidR="00501F87" w:rsidRPr="00837120" w:rsidRDefault="00501F87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Білірубін:</w:t>
      </w:r>
      <w:r w:rsidRPr="00837120">
        <w:rPr>
          <w:lang w:val="uk-UA"/>
        </w:rPr>
        <w:t xml:space="preserve"> </w:t>
      </w:r>
      <w:r w:rsidR="006F16B6" w:rsidRPr="00837120">
        <w:rPr>
          <w:lang w:val="uk-UA"/>
        </w:rPr>
        <w:t xml:space="preserve">Білірубін відсутній у сечі здорової людини, тому будь-який позитивний результат, а також сліди білірубіну у зразку, вказує на патологічний стан і вимагає подальшого дослідження. Зразки сечі, що містять великі дози хлорпромазину або рифампену, можуть бути помилково інтерпретовані, як позитивні. </w:t>
      </w:r>
    </w:p>
    <w:p w:rsidR="00501F87" w:rsidRPr="00837120" w:rsidRDefault="006F16B6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Наявність жовчних пігментів – похідних білірубіну, може маскувати реакцію білірубіну. </w:t>
      </w:r>
      <w:r w:rsidR="00680344" w:rsidRPr="00837120">
        <w:rPr>
          <w:lang w:val="uk-UA"/>
        </w:rPr>
        <w:t xml:space="preserve">Це явище характеризується поширенням кольору у тестовій зоні, який не співпадає з кольорами на шкалі. </w:t>
      </w:r>
    </w:p>
    <w:p w:rsidR="00680344" w:rsidRPr="00837120" w:rsidRDefault="00680344" w:rsidP="00837120">
      <w:pPr>
        <w:spacing w:line="276" w:lineRule="auto"/>
        <w:rPr>
          <w:lang w:val="uk-UA"/>
        </w:rPr>
      </w:pPr>
      <w:r w:rsidRPr="00837120">
        <w:rPr>
          <w:lang w:val="uk-UA"/>
        </w:rPr>
        <w:t xml:space="preserve">Чутливість може зменшуватися у зразках з великою концентрацією аскорбінової кислоти. </w:t>
      </w:r>
    </w:p>
    <w:p w:rsidR="00680344" w:rsidRPr="00837120" w:rsidRDefault="00680344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Кетони:</w:t>
      </w:r>
      <w:r w:rsidRPr="00837120">
        <w:rPr>
          <w:lang w:val="uk-UA"/>
        </w:rPr>
        <w:t xml:space="preserve"> Тести не реагують з ацетоном або β</w:t>
      </w:r>
      <w:r w:rsidR="009F4D19" w:rsidRPr="00837120">
        <w:rPr>
          <w:lang w:val="uk-UA"/>
        </w:rPr>
        <w:t>-гідроксибутиратом. Зразки сечі з високою кількістю</w:t>
      </w:r>
      <w:r w:rsidR="00544B42" w:rsidRPr="00837120">
        <w:rPr>
          <w:lang w:val="uk-UA"/>
        </w:rPr>
        <w:t xml:space="preserve"> пігментів та інших речовин, що містять сульфідрильні групи, іноді дають позитивний результат на наявність слідів кетонів у сечі. </w:t>
      </w:r>
    </w:p>
    <w:p w:rsidR="00544B42" w:rsidRPr="00837120" w:rsidRDefault="00544B42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Питома вага:</w:t>
      </w:r>
      <w:r w:rsidRPr="00837120">
        <w:rPr>
          <w:lang w:val="uk-UA"/>
        </w:rPr>
        <w:t xml:space="preserve"> Кетоацидоз або концентрація білка у сечі більш, ніж 100 мг/</w:t>
      </w:r>
      <w:proofErr w:type="spellStart"/>
      <w:r w:rsidRPr="00837120">
        <w:rPr>
          <w:lang w:val="uk-UA"/>
        </w:rPr>
        <w:t>дЛ</w:t>
      </w:r>
      <w:proofErr w:type="spellEnd"/>
      <w:r w:rsidRPr="00837120">
        <w:rPr>
          <w:lang w:val="uk-UA"/>
        </w:rPr>
        <w:t xml:space="preserve"> можуть призвести до виявлення </w:t>
      </w:r>
      <w:r w:rsidR="00AD3124" w:rsidRPr="00837120">
        <w:rPr>
          <w:lang w:val="uk-UA"/>
        </w:rPr>
        <w:t xml:space="preserve">підвищених результатів. На результати не впливають неіонні компоненти сечі, такі, як глюкоза. Якщо </w:t>
      </w:r>
      <w:proofErr w:type="spellStart"/>
      <w:r w:rsidR="00AD3124" w:rsidRPr="00837120">
        <w:rPr>
          <w:lang w:val="uk-UA"/>
        </w:rPr>
        <w:t>рН</w:t>
      </w:r>
      <w:proofErr w:type="spellEnd"/>
      <w:r w:rsidR="00AD3124" w:rsidRPr="00837120">
        <w:rPr>
          <w:lang w:val="uk-UA"/>
        </w:rPr>
        <w:t xml:space="preserve"> сечі більше або дорівнює 7, під час інтерпретації результатів, згідно з кольоровою шкалою, додайте до фактичного значення 0,005. </w:t>
      </w:r>
    </w:p>
    <w:p w:rsidR="00AD3124" w:rsidRPr="00837120" w:rsidRDefault="00AD3124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Кров:</w:t>
      </w:r>
      <w:r w:rsidRPr="00837120">
        <w:rPr>
          <w:lang w:val="uk-UA"/>
        </w:rPr>
        <w:t xml:space="preserve"> Однорідний синій колір свідчить про наявність міоглобіну, гемоглобіну або гемолізованих </w:t>
      </w:r>
      <w:r w:rsidR="00BF0B55" w:rsidRPr="00837120">
        <w:rPr>
          <w:lang w:val="uk-UA"/>
        </w:rPr>
        <w:t xml:space="preserve">еритроцитів. Розрізнені або угруповані сині плями вказують на наявність неушкоджених еритроцитів. З метою підвищення точності, для визначення гемоглобіну та еритроцитів надається окрема кольорова шкала.  Позитивний результат цього тесту часто виявляється у зразках сечі жінок з менструацією. Відомо, що сеча з високим </w:t>
      </w:r>
      <w:proofErr w:type="spellStart"/>
      <w:r w:rsidR="00BF0B55" w:rsidRPr="00837120">
        <w:rPr>
          <w:lang w:val="uk-UA"/>
        </w:rPr>
        <w:t>рН</w:t>
      </w:r>
      <w:proofErr w:type="spellEnd"/>
      <w:r w:rsidR="00BF0B55" w:rsidRPr="00837120">
        <w:rPr>
          <w:lang w:val="uk-UA"/>
        </w:rPr>
        <w:t xml:space="preserve"> знижує чутливість тесту, а середня та висока концентрація аскорбінової кислоти може бути інгібітором кольорової реакції. Мікробна пероксидаза під час інфекцій сечових шляхів, може спричинити </w:t>
      </w:r>
      <w:r w:rsidR="004B0221" w:rsidRPr="00837120">
        <w:rPr>
          <w:lang w:val="uk-UA"/>
        </w:rPr>
        <w:t xml:space="preserve">помилково – позитивну реакцію. Цей тест більш чутливий до виявлення вільного гемоглобіну чи міоглобіну, ніж до неушкоджених еритроцитів. </w:t>
      </w:r>
    </w:p>
    <w:p w:rsidR="004B0221" w:rsidRPr="00837120" w:rsidRDefault="004B0221" w:rsidP="00837120">
      <w:pPr>
        <w:spacing w:line="276" w:lineRule="auto"/>
        <w:rPr>
          <w:lang w:val="uk-UA"/>
        </w:rPr>
      </w:pPr>
      <w:proofErr w:type="spellStart"/>
      <w:r w:rsidRPr="00F52359">
        <w:rPr>
          <w:b/>
          <w:lang w:val="uk-UA"/>
        </w:rPr>
        <w:t>рН</w:t>
      </w:r>
      <w:proofErr w:type="spellEnd"/>
      <w:r w:rsidRPr="00F52359">
        <w:rPr>
          <w:b/>
          <w:lang w:val="uk-UA"/>
        </w:rPr>
        <w:t>:</w:t>
      </w:r>
      <w:r w:rsidRPr="00837120">
        <w:rPr>
          <w:lang w:val="uk-UA"/>
        </w:rPr>
        <w:t xml:space="preserve"> Якщо процедура аналізу не виконується належним чином, і надлишок сечі залишається на тестовій смузі, може виникнути явище, яке називається «розтікання», під час якого кислотний буфер із тестової зони білка потрапляє до тестової зони </w:t>
      </w:r>
      <w:proofErr w:type="spellStart"/>
      <w:r w:rsidRPr="00837120">
        <w:rPr>
          <w:lang w:val="uk-UA"/>
        </w:rPr>
        <w:t>рН</w:t>
      </w:r>
      <w:proofErr w:type="spellEnd"/>
      <w:r w:rsidR="00601203" w:rsidRPr="00837120">
        <w:rPr>
          <w:lang w:val="uk-UA"/>
        </w:rPr>
        <w:t xml:space="preserve">, що призводить до того, що </w:t>
      </w:r>
      <w:proofErr w:type="spellStart"/>
      <w:r w:rsidR="00601203" w:rsidRPr="00837120">
        <w:rPr>
          <w:lang w:val="uk-UA"/>
        </w:rPr>
        <w:t>рН</w:t>
      </w:r>
      <w:proofErr w:type="spellEnd"/>
      <w:r w:rsidR="00601203" w:rsidRPr="00837120">
        <w:rPr>
          <w:lang w:val="uk-UA"/>
        </w:rPr>
        <w:t xml:space="preserve"> виявляється штучно низьким. Концентрації буферу в сечі не мають впливу на визначення </w:t>
      </w:r>
      <w:proofErr w:type="spellStart"/>
      <w:r w:rsidR="00601203" w:rsidRPr="00837120">
        <w:rPr>
          <w:lang w:val="uk-UA"/>
        </w:rPr>
        <w:t>рН</w:t>
      </w:r>
      <w:proofErr w:type="spellEnd"/>
      <w:r w:rsidR="00601203" w:rsidRPr="00837120">
        <w:rPr>
          <w:lang w:val="uk-UA"/>
        </w:rPr>
        <w:t xml:space="preserve">. </w:t>
      </w:r>
    </w:p>
    <w:p w:rsidR="004B0221" w:rsidRPr="00837120" w:rsidRDefault="003B0313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lastRenderedPageBreak/>
        <w:t>Білок:</w:t>
      </w:r>
      <w:r w:rsidRPr="00837120">
        <w:rPr>
          <w:lang w:val="uk-UA"/>
        </w:rPr>
        <w:t xml:space="preserve"> Зелене забарвлення у тестовій зоні свідчить про наявність білка у сечі. Цей тест є високочутливим </w:t>
      </w:r>
      <w:r w:rsidR="00135EEA" w:rsidRPr="00837120">
        <w:rPr>
          <w:lang w:val="uk-UA"/>
        </w:rPr>
        <w:t xml:space="preserve">до альбуміну, і менш чутливий до гемоглобіну, глобуліну та мукопротеїну. Негативний результат аналізу не виключає наявності цих білків. Помилково – позитивні результати можуть бути отримані у зразках </w:t>
      </w:r>
      <w:r w:rsidR="00613BFD" w:rsidRPr="00837120">
        <w:rPr>
          <w:lang w:val="uk-UA"/>
        </w:rPr>
        <w:t>з сильно буферизованою лужною сечею</w:t>
      </w:r>
      <w:r w:rsidR="00135EEA" w:rsidRPr="00837120">
        <w:rPr>
          <w:lang w:val="uk-UA"/>
        </w:rPr>
        <w:t>. Забруднення зразків сечі сполуками четвертинного амонію або очищувачами шкіри, що містять хлоргексидин, також дають помилково – позитивні результати. Зразки сечі з високою питомою вагою дають помилково – негативні результати.</w:t>
      </w:r>
      <w:r w:rsidR="005454C3" w:rsidRPr="00837120">
        <w:rPr>
          <w:lang w:val="uk-UA"/>
        </w:rPr>
        <w:t xml:space="preserve"> </w:t>
      </w:r>
    </w:p>
    <w:p w:rsidR="005454C3" w:rsidRPr="00837120" w:rsidRDefault="005454C3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Уробіліноген:</w:t>
      </w:r>
      <w:r w:rsidRPr="00837120">
        <w:rPr>
          <w:lang w:val="uk-UA"/>
        </w:rPr>
        <w:t xml:space="preserve"> Усі результати аналізів з концентрацією нижче 1 мг/</w:t>
      </w:r>
      <w:proofErr w:type="spellStart"/>
      <w:r w:rsidRPr="00837120">
        <w:rPr>
          <w:lang w:val="uk-UA"/>
        </w:rPr>
        <w:t>дЛ</w:t>
      </w:r>
      <w:proofErr w:type="spellEnd"/>
      <w:r w:rsidR="00CB500D" w:rsidRPr="00837120">
        <w:rPr>
          <w:lang w:val="uk-UA"/>
        </w:rPr>
        <w:t xml:space="preserve"> вважаються нормальними. Негативний результат не виключає наявності уробіліногену у сечі. Тестова зона взаємодіє з інтерферентними речовинами, відомими, як реагенти </w:t>
      </w:r>
      <w:proofErr w:type="spellStart"/>
      <w:r w:rsidR="00CB500D" w:rsidRPr="00837120">
        <w:rPr>
          <w:lang w:val="uk-UA"/>
        </w:rPr>
        <w:t>Ерліха</w:t>
      </w:r>
      <w:proofErr w:type="spellEnd"/>
      <w:r w:rsidR="00CB500D" w:rsidRPr="00837120">
        <w:rPr>
          <w:lang w:val="uk-UA"/>
        </w:rPr>
        <w:t>, такими як, р-</w:t>
      </w:r>
      <w:proofErr w:type="spellStart"/>
      <w:r w:rsidR="00CB500D" w:rsidRPr="00837120">
        <w:rPr>
          <w:lang w:val="uk-UA"/>
        </w:rPr>
        <w:t>аміносаліцилова</w:t>
      </w:r>
      <w:proofErr w:type="spellEnd"/>
      <w:r w:rsidR="00CB500D" w:rsidRPr="00837120">
        <w:rPr>
          <w:lang w:val="uk-UA"/>
        </w:rPr>
        <w:t xml:space="preserve"> кислота та сульфаніламіди. Помилково-негативні результати можуть бути отримані за наявності формаліну у сечі. Цей тест не можна використовувати для виявлення порфобіліногену.  </w:t>
      </w:r>
    </w:p>
    <w:p w:rsidR="00981FD3" w:rsidRPr="00837120" w:rsidRDefault="00981FD3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Нітрити:</w:t>
      </w:r>
      <w:r w:rsidRPr="00837120">
        <w:rPr>
          <w:lang w:val="uk-UA"/>
        </w:rPr>
        <w:t xml:space="preserve"> Тест є специфічним для нітритів і не буде реагувати з іншими речовинами. Будь-яка ступінь забарвлення від рожевого до червоного кольору має тлумачитися, як позитивний результат, що свідчить про наявність нітритів. Інтенсивність кольору не пропорці</w:t>
      </w:r>
      <w:r w:rsidR="00613BFD" w:rsidRPr="00837120">
        <w:rPr>
          <w:lang w:val="uk-UA"/>
        </w:rPr>
        <w:t xml:space="preserve">йна кількості бактерій </w:t>
      </w:r>
      <w:r w:rsidRPr="00837120">
        <w:rPr>
          <w:lang w:val="uk-UA"/>
        </w:rPr>
        <w:t xml:space="preserve">у сечі. </w:t>
      </w:r>
      <w:r w:rsidR="00613BFD" w:rsidRPr="00837120">
        <w:rPr>
          <w:lang w:val="uk-UA"/>
        </w:rPr>
        <w:t>Наявність рожевих плями у тестовій зоні не вважається позитивним результатом. Візуальне порівняння тестової зони з білим фоном допоможе у виявлені низьких концентрацій нітриту, які можна було б пропустити. Аскорбінова кислота у концентрації вище за 30 мг/</w:t>
      </w:r>
      <w:proofErr w:type="spellStart"/>
      <w:r w:rsidR="00613BFD" w:rsidRPr="00837120">
        <w:rPr>
          <w:lang w:val="uk-UA"/>
        </w:rPr>
        <w:t>дЛ</w:t>
      </w:r>
      <w:proofErr w:type="spellEnd"/>
      <w:r w:rsidR="00613BFD" w:rsidRPr="00837120">
        <w:rPr>
          <w:lang w:val="uk-UA"/>
        </w:rPr>
        <w:t xml:space="preserve"> може спричинити помилково-негативні результати у сечі, з концентрацією іонів сечі менше 0,05 мг/</w:t>
      </w:r>
      <w:proofErr w:type="spellStart"/>
      <w:r w:rsidR="00613BFD" w:rsidRPr="00837120">
        <w:rPr>
          <w:lang w:val="uk-UA"/>
        </w:rPr>
        <w:t>дЛ</w:t>
      </w:r>
      <w:proofErr w:type="spellEnd"/>
      <w:r w:rsidR="00613BFD" w:rsidRPr="00837120">
        <w:rPr>
          <w:lang w:val="uk-UA"/>
        </w:rPr>
        <w:t xml:space="preserve">. Чутливість цього тесту зменшується для зразків з сильно буферизованою лужною сечею. Для отримання достовірних результатів, необхідно припинити вживання </w:t>
      </w:r>
      <w:r w:rsidR="00875E01" w:rsidRPr="00837120">
        <w:rPr>
          <w:lang w:val="uk-UA"/>
        </w:rPr>
        <w:t>антибіотиків як мінімум за 3 доби</w:t>
      </w:r>
      <w:r w:rsidR="00613BFD" w:rsidRPr="00837120">
        <w:rPr>
          <w:lang w:val="uk-UA"/>
        </w:rPr>
        <w:t xml:space="preserve"> до проведення аналізу. Негативний результат не виключає наявність бактеріурії. </w:t>
      </w:r>
      <w:r w:rsidR="00875E01" w:rsidRPr="00837120">
        <w:rPr>
          <w:lang w:val="uk-UA"/>
        </w:rPr>
        <w:t xml:space="preserve">Негативні результати можуть виникати під час інфекцій сечовивідних шляхів від мікроорганізмів, що не містять редуктазу для перетворення нітрату в нітрит; коли сеча не перебуває у сечовому міхурі принаймні 4 години; або за відсутності нітратної дієти. </w:t>
      </w:r>
    </w:p>
    <w:p w:rsidR="00875E01" w:rsidRPr="00837120" w:rsidRDefault="00875E01" w:rsidP="00837120">
      <w:pPr>
        <w:spacing w:line="276" w:lineRule="auto"/>
        <w:rPr>
          <w:lang w:val="uk-UA"/>
        </w:rPr>
      </w:pPr>
      <w:r w:rsidRPr="00F52359">
        <w:rPr>
          <w:b/>
          <w:lang w:val="uk-UA"/>
        </w:rPr>
        <w:t>Лейкоцити:</w:t>
      </w:r>
      <w:r w:rsidRPr="00837120">
        <w:rPr>
          <w:lang w:val="uk-UA"/>
        </w:rPr>
        <w:t xml:space="preserve"> Результати цього тесту необхідно тлумачити у проміжок часу між 60 та 120 секундами реакції, для забезпечення повного розвитку кольору. Інтенсивність кольору пропорційна кількості лейкоцитів, присутніх у зразку</w:t>
      </w:r>
      <w:r w:rsidR="00E06A4C" w:rsidRPr="00837120">
        <w:rPr>
          <w:lang w:val="uk-UA"/>
        </w:rPr>
        <w:t>. Висока питома вага або підвищена концентрація глюкози (500 мг/</w:t>
      </w:r>
      <w:proofErr w:type="spellStart"/>
      <w:r w:rsidR="00E06A4C" w:rsidRPr="00837120">
        <w:rPr>
          <w:lang w:val="uk-UA"/>
        </w:rPr>
        <w:t>дЛ</w:t>
      </w:r>
      <w:proofErr w:type="spellEnd"/>
      <w:r w:rsidR="00E06A4C" w:rsidRPr="00837120">
        <w:rPr>
          <w:lang w:val="uk-UA"/>
        </w:rPr>
        <w:t>) може призвести до штучного зниження результатів випробувань. Наявність цефалексину, цефалотіну або висока концентрація щавлевої кислоти можуть призвести до штучного зниження результатів випробувань. Тетрациклін може стати причиною зниження реактивності, а його висока концентрація у сечі виявить помилково-негативну реакцію. Висока концентрація білка у сечі (500 мг/</w:t>
      </w:r>
      <w:proofErr w:type="spellStart"/>
      <w:r w:rsidR="00E06A4C" w:rsidRPr="00837120">
        <w:rPr>
          <w:lang w:val="uk-UA"/>
        </w:rPr>
        <w:t>дЛ</w:t>
      </w:r>
      <w:proofErr w:type="spellEnd"/>
      <w:r w:rsidR="00E06A4C" w:rsidRPr="00837120">
        <w:rPr>
          <w:lang w:val="uk-UA"/>
        </w:rPr>
        <w:t xml:space="preserve">) зменшує інтенсивність забарвлення. Цей тест не реагуватиме з еритроцитами або бактеріями поширеними у сечі. </w:t>
      </w:r>
      <w:r w:rsidRPr="00837120">
        <w:rPr>
          <w:lang w:val="uk-UA"/>
        </w:rPr>
        <w:t xml:space="preserve"> </w:t>
      </w:r>
    </w:p>
    <w:p w:rsidR="00E06A4C" w:rsidRPr="00F52359" w:rsidRDefault="00E06A4C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ЛІТЕРАТУРА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r w:rsidRPr="00837120">
        <w:t xml:space="preserve">Free AH, Free HM. Urinalysis, Critical Discipline of Clinical Science. CRC · Crit. Rev. </w:t>
      </w:r>
      <w:proofErr w:type="spellStart"/>
      <w:r w:rsidRPr="00837120">
        <w:t>Chn</w:t>
      </w:r>
      <w:proofErr w:type="spellEnd"/>
      <w:r w:rsidRPr="00837120">
        <w:t xml:space="preserve"> Lab </w:t>
      </w:r>
      <w:proofErr w:type="spellStart"/>
      <w:r w:rsidRPr="00837120">
        <w:t>Sci</w:t>
      </w:r>
      <w:proofErr w:type="spellEnd"/>
      <w:r w:rsidRPr="00837120">
        <w:t xml:space="preserve"> 3 (4): 481-531, 1972.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r w:rsidRPr="00837120">
        <w:t xml:space="preserve">Yoder J, Adams EC, Free, AH. Simultaneous Screening for Urinary Occult Blood, Protein, Glucose, </w:t>
      </w:r>
      <w:proofErr w:type="spellStart"/>
      <w:r w:rsidRPr="00837120">
        <w:t>anft.H</w:t>
      </w:r>
      <w:proofErr w:type="spellEnd"/>
      <w:r w:rsidRPr="00837120">
        <w:t xml:space="preserve">. </w:t>
      </w:r>
      <w:proofErr w:type="spellStart"/>
      <w:r w:rsidRPr="00837120">
        <w:t>Amer</w:t>
      </w:r>
      <w:proofErr w:type="spellEnd"/>
      <w:r w:rsidRPr="00837120">
        <w:t xml:space="preserve"> J. Med Tech. 31: 285, 1965.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proofErr w:type="spellStart"/>
      <w:r w:rsidRPr="00837120">
        <w:lastRenderedPageBreak/>
        <w:t>Shchersten</w:t>
      </w:r>
      <w:proofErr w:type="spellEnd"/>
      <w:r w:rsidRPr="00837120">
        <w:t xml:space="preserve"> B, Fritz. Subnormal Levels of Glucose in Urine. JAMA 201: 129-132, 1967.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proofErr w:type="spellStart"/>
      <w:r w:rsidRPr="00837120">
        <w:t>McGarry</w:t>
      </w:r>
      <w:proofErr w:type="spellEnd"/>
      <w:r w:rsidRPr="00837120">
        <w:t xml:space="preserve"> JD, Lilly. Lecture, 1978: New Perspectives in the Regulation of </w:t>
      </w:r>
      <w:proofErr w:type="spellStart"/>
      <w:r w:rsidRPr="00837120">
        <w:t>Ketogenesis</w:t>
      </w:r>
      <w:proofErr w:type="spellEnd"/>
      <w:r w:rsidRPr="00837120">
        <w:t>. Diabetes 28: 517-523 May 1978.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r w:rsidRPr="00837120">
        <w:t xml:space="preserve">Williamson DH. </w:t>
      </w:r>
      <w:proofErr w:type="spellStart"/>
      <w:r w:rsidRPr="00837120">
        <w:t>PhJJ.siological</w:t>
      </w:r>
      <w:proofErr w:type="spellEnd"/>
      <w:r w:rsidRPr="00837120">
        <w:t xml:space="preserve"> Ketose, or Why Ketone Bodies? Postgrad Med. J. (June Suppl.): 372-375, 1971.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r w:rsidRPr="00837120">
        <w:t>Paterson P. et al. Maternal and Fetal Ketone Concentrations in Plasma and Urine. Lancet: 862-865; April 22, 1967.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r w:rsidRPr="00837120">
        <w:t xml:space="preserve">Fraser J et al. </w:t>
      </w:r>
      <w:proofErr w:type="spellStart"/>
      <w:r w:rsidRPr="00837120">
        <w:t>Stuaies</w:t>
      </w:r>
      <w:proofErr w:type="spellEnd"/>
      <w:r w:rsidRPr="00837120">
        <w:t xml:space="preserve"> with a Simplified Nitroprusside Test for Ketone Bodies in Urine, Serum, Plasma and Milk. </w:t>
      </w:r>
      <w:proofErr w:type="spellStart"/>
      <w:r w:rsidRPr="00837120">
        <w:t>Clin</w:t>
      </w:r>
      <w:proofErr w:type="spellEnd"/>
      <w:r w:rsidRPr="00837120">
        <w:t xml:space="preserve"> </w:t>
      </w:r>
      <w:proofErr w:type="spellStart"/>
      <w:r w:rsidRPr="00837120">
        <w:t>Chem</w:t>
      </w:r>
      <w:proofErr w:type="spellEnd"/>
      <w:r w:rsidRPr="00837120">
        <w:t xml:space="preserve"> </w:t>
      </w:r>
      <w:proofErr w:type="spellStart"/>
      <w:r w:rsidRPr="00837120">
        <w:t>Acta</w:t>
      </w:r>
      <w:proofErr w:type="spellEnd"/>
      <w:r w:rsidRPr="00837120">
        <w:t xml:space="preserve"> II: 372-378, 1965.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r w:rsidRPr="00837120">
        <w:t>Henry JB et al. Clinical Diagnosis and Management by Laboratory Methods, 18th Ed. Philadelphia Saunders 396-397, 415, 1991.</w:t>
      </w:r>
    </w:p>
    <w:p w:rsidR="005C435D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proofErr w:type="spellStart"/>
      <w:r w:rsidRPr="00837120">
        <w:t>Burtis</w:t>
      </w:r>
      <w:proofErr w:type="spellEnd"/>
      <w:r w:rsidRPr="00837120">
        <w:t xml:space="preserve"> CA, </w:t>
      </w:r>
      <w:proofErr w:type="spellStart"/>
      <w:r w:rsidRPr="00837120">
        <w:t>Ashwood</w:t>
      </w:r>
      <w:proofErr w:type="spellEnd"/>
      <w:r w:rsidRPr="00837120">
        <w:t xml:space="preserve"> ER. </w:t>
      </w:r>
      <w:proofErr w:type="spellStart"/>
      <w:r w:rsidRPr="00837120">
        <w:t>Tietz</w:t>
      </w:r>
      <w:proofErr w:type="spellEnd"/>
      <w:r w:rsidRPr="00837120">
        <w:t xml:space="preserve"> Textbook of Clinical Chemistry, </w:t>
      </w:r>
      <w:proofErr w:type="gramStart"/>
      <w:r w:rsidRPr="00837120">
        <w:t>2nd</w:t>
      </w:r>
      <w:proofErr w:type="gramEnd"/>
      <w:r w:rsidRPr="00837120">
        <w:t xml:space="preserve"> Ed. 2205, 1994. </w:t>
      </w:r>
    </w:p>
    <w:p w:rsidR="00E06A4C" w:rsidRPr="00837120" w:rsidRDefault="00E06A4C" w:rsidP="00F52359">
      <w:pPr>
        <w:pStyle w:val="a4"/>
        <w:numPr>
          <w:ilvl w:val="0"/>
          <w:numId w:val="11"/>
        </w:numPr>
        <w:spacing w:line="276" w:lineRule="auto"/>
      </w:pPr>
      <w:proofErr w:type="spellStart"/>
      <w:r w:rsidRPr="00837120">
        <w:t>Tietz</w:t>
      </w:r>
      <w:proofErr w:type="spellEnd"/>
      <w:r w:rsidRPr="00837120">
        <w:t xml:space="preserve"> NW. Clinical Guide to Laboratory Tests. W.B. Saunders Company. 1976</w:t>
      </w:r>
      <w:r w:rsidR="005C435D" w:rsidRPr="00837120">
        <w:t xml:space="preserve"> </w:t>
      </w:r>
    </w:p>
    <w:p w:rsidR="005C435D" w:rsidRPr="00F52359" w:rsidRDefault="005C435D" w:rsidP="00837120">
      <w:pPr>
        <w:spacing w:line="276" w:lineRule="auto"/>
        <w:rPr>
          <w:b/>
          <w:lang w:val="uk-UA"/>
        </w:rPr>
      </w:pPr>
      <w:r w:rsidRPr="00F52359">
        <w:rPr>
          <w:b/>
          <w:lang w:val="uk-UA"/>
        </w:rPr>
        <w:t>УМОВНІ ПОЗНАЧЕННЯ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827"/>
      </w:tblGrid>
      <w:tr w:rsidR="005C435D" w:rsidRPr="001B38F0" w:rsidTr="00F52359">
        <w:trPr>
          <w:jc w:val="center"/>
        </w:trPr>
        <w:tc>
          <w:tcPr>
            <w:tcW w:w="2122" w:type="dxa"/>
          </w:tcPr>
          <w:p w:rsidR="005C435D" w:rsidRPr="00837120" w:rsidRDefault="005C435D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495300" cy="414314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8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29" cy="42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lang w:val="uk-UA"/>
              </w:rPr>
              <w:t>Увага, зверніться до інструкції з експлуатації</w:t>
            </w:r>
          </w:p>
        </w:tc>
      </w:tr>
      <w:tr w:rsidR="005C435D" w:rsidRPr="00837120" w:rsidTr="00F52359">
        <w:trPr>
          <w:jc w:val="center"/>
        </w:trPr>
        <w:tc>
          <w:tcPr>
            <w:tcW w:w="2122" w:type="dxa"/>
          </w:tcPr>
          <w:p w:rsidR="005C435D" w:rsidRPr="00837120" w:rsidRDefault="005C435D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562539" cy="3333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1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4" cy="33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</w:pPr>
            <w:r w:rsidRPr="00837120">
              <w:rPr>
                <w:lang w:val="uk-UA"/>
              </w:rPr>
              <w:t xml:space="preserve">Для діагностики </w:t>
            </w:r>
            <w:r w:rsidRPr="00837120">
              <w:t>in vitro</w:t>
            </w:r>
          </w:p>
        </w:tc>
      </w:tr>
      <w:tr w:rsidR="005C435D" w:rsidRPr="00837120" w:rsidTr="00F52359">
        <w:trPr>
          <w:jc w:val="center"/>
        </w:trPr>
        <w:tc>
          <w:tcPr>
            <w:tcW w:w="2122" w:type="dxa"/>
          </w:tcPr>
          <w:p w:rsidR="005C435D" w:rsidRPr="00837120" w:rsidRDefault="005C435D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304800" cy="455002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11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02" cy="45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lang w:val="uk-UA"/>
              </w:rPr>
              <w:t>Температурне обмеження</w:t>
            </w:r>
          </w:p>
        </w:tc>
      </w:tr>
      <w:tr w:rsidR="005C435D" w:rsidRPr="00837120" w:rsidTr="00F52359">
        <w:trPr>
          <w:jc w:val="center"/>
        </w:trPr>
        <w:tc>
          <w:tcPr>
            <w:tcW w:w="2122" w:type="dxa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533400" cy="43956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87" cy="44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lang w:val="uk-UA"/>
              </w:rPr>
              <w:t>Укомплектовано</w:t>
            </w:r>
          </w:p>
        </w:tc>
      </w:tr>
      <w:tr w:rsidR="005C435D" w:rsidRPr="00837120" w:rsidTr="00F52359">
        <w:trPr>
          <w:jc w:val="center"/>
        </w:trPr>
        <w:tc>
          <w:tcPr>
            <w:tcW w:w="2122" w:type="dxa"/>
          </w:tcPr>
          <w:p w:rsidR="005C435D" w:rsidRPr="00837120" w:rsidRDefault="00775A8B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43815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42" cy="62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lang w:val="uk-UA"/>
              </w:rPr>
              <w:t>Термін придатності</w:t>
            </w:r>
          </w:p>
        </w:tc>
      </w:tr>
      <w:tr w:rsidR="005C435D" w:rsidRPr="00837120" w:rsidTr="00F52359">
        <w:trPr>
          <w:jc w:val="center"/>
        </w:trPr>
        <w:tc>
          <w:tcPr>
            <w:tcW w:w="2122" w:type="dxa"/>
          </w:tcPr>
          <w:p w:rsidR="005C435D" w:rsidRPr="00837120" w:rsidRDefault="00775A8B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676275" cy="487805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38" cy="4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lang w:val="uk-UA"/>
              </w:rPr>
              <w:t>Код партії</w:t>
            </w:r>
          </w:p>
        </w:tc>
      </w:tr>
      <w:tr w:rsidR="005C435D" w:rsidRPr="00837120" w:rsidTr="00F52359">
        <w:trPr>
          <w:jc w:val="center"/>
        </w:trPr>
        <w:tc>
          <w:tcPr>
            <w:tcW w:w="2122" w:type="dxa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476250" cy="436145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90" cy="44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lang w:val="uk-UA"/>
              </w:rPr>
              <w:t>Не використовувати повторно</w:t>
            </w:r>
          </w:p>
        </w:tc>
      </w:tr>
      <w:tr w:rsidR="005C435D" w:rsidRPr="001B38F0" w:rsidTr="00F52359">
        <w:trPr>
          <w:jc w:val="center"/>
        </w:trPr>
        <w:tc>
          <w:tcPr>
            <w:tcW w:w="2122" w:type="dxa"/>
          </w:tcPr>
          <w:p w:rsidR="005C435D" w:rsidRPr="00837120" w:rsidRDefault="00775A8B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571500" cy="418171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8" cy="43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C435D" w:rsidRPr="00837120" w:rsidRDefault="00E97AA1" w:rsidP="00F52359">
            <w:pPr>
              <w:spacing w:line="276" w:lineRule="auto"/>
              <w:jc w:val="center"/>
              <w:rPr>
                <w:lang w:val="uk-UA"/>
              </w:rPr>
            </w:pPr>
            <w:r w:rsidRPr="00837120">
              <w:rPr>
                <w:lang w:val="uk-UA"/>
              </w:rPr>
              <w:t>Зверніться до інструкції з експлуатації</w:t>
            </w:r>
          </w:p>
        </w:tc>
      </w:tr>
      <w:tr w:rsidR="00775A8B" w:rsidRPr="00837120" w:rsidTr="00F52359">
        <w:trPr>
          <w:jc w:val="center"/>
        </w:trPr>
        <w:tc>
          <w:tcPr>
            <w:tcW w:w="2122" w:type="dxa"/>
          </w:tcPr>
          <w:p w:rsidR="00775A8B" w:rsidRPr="00837120" w:rsidRDefault="00775A8B" w:rsidP="00F52359">
            <w:pPr>
              <w:spacing w:line="276" w:lineRule="auto"/>
              <w:jc w:val="center"/>
              <w:rPr>
                <w:noProof/>
                <w:lang w:val="ru-RU" w:eastAsia="ru-RU"/>
              </w:rPr>
            </w:pPr>
            <w:r w:rsidRPr="00837120">
              <w:rPr>
                <w:noProof/>
                <w:lang w:val="uk-UA" w:eastAsia="uk-UA"/>
              </w:rPr>
              <w:drawing>
                <wp:inline distT="0" distB="0" distL="0" distR="0">
                  <wp:extent cx="1047750" cy="435746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27" cy="44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775A8B" w:rsidRPr="00837120" w:rsidRDefault="00E97AA1" w:rsidP="00F52359">
            <w:pPr>
              <w:spacing w:line="276" w:lineRule="auto"/>
              <w:jc w:val="center"/>
            </w:pPr>
            <w:r w:rsidRPr="00837120">
              <w:rPr>
                <w:lang w:val="uk-UA"/>
              </w:rPr>
              <w:t>Уповноважений представник у ЄС</w:t>
            </w:r>
          </w:p>
        </w:tc>
      </w:tr>
    </w:tbl>
    <w:p w:rsidR="005C435D" w:rsidRPr="00837120" w:rsidRDefault="005C435D" w:rsidP="00837120">
      <w:pPr>
        <w:spacing w:line="276" w:lineRule="auto"/>
        <w:rPr>
          <w:lang w:val="uk-UA"/>
        </w:rPr>
      </w:pPr>
    </w:p>
    <w:p w:rsidR="00610C53" w:rsidRPr="00837120" w:rsidRDefault="00610C53" w:rsidP="00F52359">
      <w:pPr>
        <w:spacing w:line="276" w:lineRule="auto"/>
        <w:jc w:val="right"/>
        <w:rPr>
          <w:lang w:val="uk-UA"/>
        </w:rPr>
      </w:pPr>
      <w:proofErr w:type="spellStart"/>
      <w:r w:rsidRPr="00837120">
        <w:rPr>
          <w:lang w:val="uk-UA"/>
        </w:rPr>
        <w:t>Manufacturer</w:t>
      </w:r>
      <w:proofErr w:type="spellEnd"/>
      <w:r w:rsidRPr="00837120">
        <w:rPr>
          <w:lang w:val="uk-UA"/>
        </w:rPr>
        <w:t xml:space="preserve">: </w:t>
      </w:r>
      <w:proofErr w:type="spellStart"/>
      <w:r w:rsidRPr="00837120">
        <w:rPr>
          <w:lang w:val="uk-UA"/>
        </w:rPr>
        <w:t>Shenzhen</w:t>
      </w:r>
      <w:proofErr w:type="spellEnd"/>
      <w:r w:rsidRPr="00837120">
        <w:rPr>
          <w:lang w:val="uk-UA"/>
        </w:rPr>
        <w:t xml:space="preserve"> </w:t>
      </w:r>
      <w:proofErr w:type="spellStart"/>
      <w:r w:rsidRPr="00837120">
        <w:rPr>
          <w:lang w:val="uk-UA"/>
        </w:rPr>
        <w:t>Mindray</w:t>
      </w:r>
      <w:proofErr w:type="spellEnd"/>
      <w:r w:rsidRPr="00837120">
        <w:rPr>
          <w:lang w:val="uk-UA"/>
        </w:rPr>
        <w:t xml:space="preserve"> </w:t>
      </w:r>
      <w:proofErr w:type="spellStart"/>
      <w:r w:rsidRPr="00837120">
        <w:rPr>
          <w:lang w:val="uk-UA"/>
        </w:rPr>
        <w:t>Bio-Medical</w:t>
      </w:r>
      <w:proofErr w:type="spellEnd"/>
      <w:r w:rsidRPr="00837120">
        <w:rPr>
          <w:lang w:val="uk-UA"/>
        </w:rPr>
        <w:t xml:space="preserve"> </w:t>
      </w:r>
      <w:proofErr w:type="spellStart"/>
      <w:r w:rsidRPr="00837120">
        <w:rPr>
          <w:lang w:val="uk-UA"/>
        </w:rPr>
        <w:t>Electronics</w:t>
      </w:r>
      <w:proofErr w:type="spellEnd"/>
      <w:r w:rsidRPr="00837120">
        <w:rPr>
          <w:lang w:val="uk-UA"/>
        </w:rPr>
        <w:t xml:space="preserve"> </w:t>
      </w:r>
      <w:proofErr w:type="spellStart"/>
      <w:r w:rsidRPr="00837120">
        <w:rPr>
          <w:lang w:val="uk-UA"/>
        </w:rPr>
        <w:t>Co</w:t>
      </w:r>
      <w:proofErr w:type="spellEnd"/>
      <w:r w:rsidRPr="00837120">
        <w:rPr>
          <w:lang w:val="uk-UA"/>
        </w:rPr>
        <w:t xml:space="preserve">., </w:t>
      </w:r>
      <w:proofErr w:type="spellStart"/>
      <w:r w:rsidRPr="00837120">
        <w:rPr>
          <w:lang w:val="uk-UA"/>
        </w:rPr>
        <w:t>Ltd</w:t>
      </w:r>
      <w:proofErr w:type="spellEnd"/>
      <w:r w:rsidRPr="00837120">
        <w:rPr>
          <w:lang w:val="uk-UA"/>
        </w:rPr>
        <w:t>.</w:t>
      </w:r>
    </w:p>
    <w:p w:rsidR="00610C53" w:rsidRPr="00837120" w:rsidRDefault="00610C53" w:rsidP="00F52359">
      <w:pPr>
        <w:spacing w:line="276" w:lineRule="auto"/>
        <w:jc w:val="right"/>
        <w:rPr>
          <w:lang w:val="uk-UA"/>
        </w:rPr>
      </w:pPr>
      <w:r w:rsidRPr="00837120">
        <w:rPr>
          <w:lang w:val="uk-UA"/>
        </w:rPr>
        <w:t>E-</w:t>
      </w:r>
      <w:proofErr w:type="spellStart"/>
      <w:r w:rsidRPr="00837120">
        <w:rPr>
          <w:lang w:val="uk-UA"/>
        </w:rPr>
        <w:t>mail</w:t>
      </w:r>
      <w:proofErr w:type="spellEnd"/>
      <w:r w:rsidRPr="00837120">
        <w:rPr>
          <w:lang w:val="uk-UA"/>
        </w:rPr>
        <w:t xml:space="preserve"> </w:t>
      </w:r>
      <w:proofErr w:type="spellStart"/>
      <w:r w:rsidRPr="00837120">
        <w:rPr>
          <w:lang w:val="uk-UA"/>
        </w:rPr>
        <w:t>Address</w:t>
      </w:r>
      <w:proofErr w:type="spellEnd"/>
      <w:r w:rsidRPr="00837120">
        <w:rPr>
          <w:lang w:val="uk-UA"/>
        </w:rPr>
        <w:t>: service@mindray.com</w:t>
      </w:r>
    </w:p>
    <w:p w:rsidR="00610C53" w:rsidRPr="00837120" w:rsidRDefault="00610C53" w:rsidP="00F52359">
      <w:pPr>
        <w:spacing w:line="276" w:lineRule="auto"/>
        <w:jc w:val="right"/>
        <w:rPr>
          <w:lang w:val="uk-UA"/>
        </w:rPr>
      </w:pPr>
      <w:proofErr w:type="spellStart"/>
      <w:r w:rsidRPr="00837120">
        <w:rPr>
          <w:lang w:val="uk-UA"/>
        </w:rPr>
        <w:lastRenderedPageBreak/>
        <w:t>Tel</w:t>
      </w:r>
      <w:proofErr w:type="spellEnd"/>
      <w:r w:rsidRPr="00837120">
        <w:rPr>
          <w:lang w:val="uk-UA"/>
        </w:rPr>
        <w:t>: +86 755 26582479 26582888</w:t>
      </w:r>
    </w:p>
    <w:p w:rsidR="00610C53" w:rsidRPr="00837120" w:rsidRDefault="00610C53" w:rsidP="00F52359">
      <w:pPr>
        <w:spacing w:line="276" w:lineRule="auto"/>
        <w:jc w:val="right"/>
        <w:rPr>
          <w:lang w:val="uk-UA"/>
        </w:rPr>
      </w:pPr>
      <w:proofErr w:type="spellStart"/>
      <w:r w:rsidRPr="00837120">
        <w:rPr>
          <w:lang w:val="uk-UA"/>
        </w:rPr>
        <w:t>Fax</w:t>
      </w:r>
      <w:proofErr w:type="spellEnd"/>
      <w:r w:rsidRPr="00837120">
        <w:rPr>
          <w:lang w:val="uk-UA"/>
        </w:rPr>
        <w:t>: +86 755 26582934 26582500</w:t>
      </w:r>
    </w:p>
    <w:p w:rsidR="00610C53" w:rsidRPr="00837120" w:rsidRDefault="00610C53" w:rsidP="001B38F0">
      <w:pPr>
        <w:spacing w:line="276" w:lineRule="auto"/>
        <w:jc w:val="right"/>
        <w:rPr>
          <w:lang w:val="uk-UA"/>
        </w:rPr>
      </w:pPr>
      <w:r w:rsidRPr="00837120">
        <w:rPr>
          <w:lang w:val="uk-UA"/>
        </w:rPr>
        <w:t>EC-</w:t>
      </w:r>
      <w:proofErr w:type="spellStart"/>
      <w:r w:rsidRPr="00837120">
        <w:rPr>
          <w:lang w:val="uk-UA"/>
        </w:rPr>
        <w:t>Representative</w:t>
      </w:r>
      <w:proofErr w:type="spellEnd"/>
      <w:r w:rsidRPr="00837120">
        <w:rPr>
          <w:lang w:val="uk-UA"/>
        </w:rPr>
        <w:t xml:space="preserve">: </w:t>
      </w:r>
      <w:proofErr w:type="spellStart"/>
      <w:r w:rsidRPr="00837120">
        <w:rPr>
          <w:lang w:val="uk-UA"/>
        </w:rPr>
        <w:t>Eiffestrae</w:t>
      </w:r>
      <w:proofErr w:type="spellEnd"/>
      <w:r w:rsidRPr="00837120">
        <w:rPr>
          <w:lang w:val="uk-UA"/>
        </w:rPr>
        <w:t xml:space="preserve"> 80, </w:t>
      </w:r>
      <w:proofErr w:type="spellStart"/>
      <w:r w:rsidRPr="00837120">
        <w:rPr>
          <w:lang w:val="uk-UA"/>
        </w:rPr>
        <w:t>Hamburg</w:t>
      </w:r>
      <w:proofErr w:type="spellEnd"/>
      <w:r w:rsidRPr="00837120">
        <w:rPr>
          <w:lang w:val="uk-UA"/>
        </w:rPr>
        <w:t xml:space="preserve"> 20537, </w:t>
      </w:r>
      <w:proofErr w:type="spellStart"/>
      <w:r w:rsidRPr="00837120">
        <w:rPr>
          <w:lang w:val="uk-UA"/>
        </w:rPr>
        <w:t>Germany</w:t>
      </w:r>
      <w:proofErr w:type="spellEnd"/>
    </w:p>
    <w:sectPr w:rsidR="00610C53" w:rsidRPr="0083712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B6" w:rsidRDefault="006D67B6" w:rsidP="00AD1C28">
      <w:pPr>
        <w:spacing w:after="0" w:line="240" w:lineRule="auto"/>
      </w:pPr>
      <w:r>
        <w:separator/>
      </w:r>
    </w:p>
  </w:endnote>
  <w:endnote w:type="continuationSeparator" w:id="0">
    <w:p w:rsidR="006D67B6" w:rsidRDefault="006D67B6" w:rsidP="00A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688108"/>
      <w:docPartObj>
        <w:docPartGallery w:val="Page Numbers (Bottom of Page)"/>
        <w:docPartUnique/>
      </w:docPartObj>
    </w:sdtPr>
    <w:sdtEndPr/>
    <w:sdtContent>
      <w:p w:rsidR="00AD1C28" w:rsidRDefault="00AD1C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F0" w:rsidRPr="001B38F0">
          <w:rPr>
            <w:noProof/>
            <w:lang w:val="ru-RU"/>
          </w:rPr>
          <w:t>11</w:t>
        </w:r>
        <w:r>
          <w:fldChar w:fldCharType="end"/>
        </w:r>
      </w:p>
    </w:sdtContent>
  </w:sdt>
  <w:p w:rsidR="00AD1C28" w:rsidRDefault="00AD1C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B6" w:rsidRDefault="006D67B6" w:rsidP="00AD1C28">
      <w:pPr>
        <w:spacing w:after="0" w:line="240" w:lineRule="auto"/>
      </w:pPr>
      <w:r>
        <w:separator/>
      </w:r>
    </w:p>
  </w:footnote>
  <w:footnote w:type="continuationSeparator" w:id="0">
    <w:p w:rsidR="006D67B6" w:rsidRDefault="006D67B6" w:rsidP="00AD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8D"/>
    <w:multiLevelType w:val="hybridMultilevel"/>
    <w:tmpl w:val="7BB0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889"/>
    <w:multiLevelType w:val="hybridMultilevel"/>
    <w:tmpl w:val="2CCA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377"/>
    <w:multiLevelType w:val="hybridMultilevel"/>
    <w:tmpl w:val="36FA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8F8"/>
    <w:multiLevelType w:val="hybridMultilevel"/>
    <w:tmpl w:val="37CE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1995"/>
    <w:multiLevelType w:val="hybridMultilevel"/>
    <w:tmpl w:val="35C0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17C5"/>
    <w:multiLevelType w:val="hybridMultilevel"/>
    <w:tmpl w:val="427E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70C1"/>
    <w:multiLevelType w:val="hybridMultilevel"/>
    <w:tmpl w:val="B908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51AE"/>
    <w:multiLevelType w:val="hybridMultilevel"/>
    <w:tmpl w:val="9A94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13AB"/>
    <w:multiLevelType w:val="hybridMultilevel"/>
    <w:tmpl w:val="5E94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41E6"/>
    <w:multiLevelType w:val="hybridMultilevel"/>
    <w:tmpl w:val="8A8C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02B9"/>
    <w:multiLevelType w:val="hybridMultilevel"/>
    <w:tmpl w:val="4CE2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6"/>
    <w:rsid w:val="00014C51"/>
    <w:rsid w:val="000350C4"/>
    <w:rsid w:val="00043632"/>
    <w:rsid w:val="00046D91"/>
    <w:rsid w:val="00065C01"/>
    <w:rsid w:val="00077EBC"/>
    <w:rsid w:val="00086064"/>
    <w:rsid w:val="000A37A2"/>
    <w:rsid w:val="000B64C5"/>
    <w:rsid w:val="000E6F5C"/>
    <w:rsid w:val="000F14C6"/>
    <w:rsid w:val="00126D39"/>
    <w:rsid w:val="00135EEA"/>
    <w:rsid w:val="00155AD0"/>
    <w:rsid w:val="00162568"/>
    <w:rsid w:val="001964A4"/>
    <w:rsid w:val="001A2028"/>
    <w:rsid w:val="001B2A6D"/>
    <w:rsid w:val="001B38F0"/>
    <w:rsid w:val="001D7E6F"/>
    <w:rsid w:val="001E09BB"/>
    <w:rsid w:val="002706AE"/>
    <w:rsid w:val="002E7C52"/>
    <w:rsid w:val="002F59EF"/>
    <w:rsid w:val="0032327D"/>
    <w:rsid w:val="003234A6"/>
    <w:rsid w:val="00381B28"/>
    <w:rsid w:val="00396F1C"/>
    <w:rsid w:val="00397CF8"/>
    <w:rsid w:val="003B0313"/>
    <w:rsid w:val="003F1E9D"/>
    <w:rsid w:val="003F63FD"/>
    <w:rsid w:val="003F7FBB"/>
    <w:rsid w:val="0041034E"/>
    <w:rsid w:val="00424EB0"/>
    <w:rsid w:val="00454469"/>
    <w:rsid w:val="00471835"/>
    <w:rsid w:val="00475A8A"/>
    <w:rsid w:val="004B0221"/>
    <w:rsid w:val="00501F87"/>
    <w:rsid w:val="00506AA7"/>
    <w:rsid w:val="00515740"/>
    <w:rsid w:val="00536391"/>
    <w:rsid w:val="00544B42"/>
    <w:rsid w:val="005454C3"/>
    <w:rsid w:val="00556068"/>
    <w:rsid w:val="00587985"/>
    <w:rsid w:val="00594B4F"/>
    <w:rsid w:val="005C435D"/>
    <w:rsid w:val="005E049F"/>
    <w:rsid w:val="00601203"/>
    <w:rsid w:val="00610C53"/>
    <w:rsid w:val="00613BFD"/>
    <w:rsid w:val="006367C5"/>
    <w:rsid w:val="00636A2A"/>
    <w:rsid w:val="006756DD"/>
    <w:rsid w:val="00680344"/>
    <w:rsid w:val="006873CE"/>
    <w:rsid w:val="006A46EC"/>
    <w:rsid w:val="006A66E0"/>
    <w:rsid w:val="006C24EC"/>
    <w:rsid w:val="006C7F23"/>
    <w:rsid w:val="006D67B6"/>
    <w:rsid w:val="006F16B6"/>
    <w:rsid w:val="00733C47"/>
    <w:rsid w:val="00775A8B"/>
    <w:rsid w:val="007C2D69"/>
    <w:rsid w:val="007F7EF6"/>
    <w:rsid w:val="00801FB3"/>
    <w:rsid w:val="00806F28"/>
    <w:rsid w:val="00820FD8"/>
    <w:rsid w:val="00836270"/>
    <w:rsid w:val="00837120"/>
    <w:rsid w:val="008444E9"/>
    <w:rsid w:val="00875E01"/>
    <w:rsid w:val="008917DA"/>
    <w:rsid w:val="00895CA7"/>
    <w:rsid w:val="008C3EC0"/>
    <w:rsid w:val="008C6A52"/>
    <w:rsid w:val="008F1ECA"/>
    <w:rsid w:val="00970509"/>
    <w:rsid w:val="0097215C"/>
    <w:rsid w:val="00981FD3"/>
    <w:rsid w:val="0099250C"/>
    <w:rsid w:val="009A6265"/>
    <w:rsid w:val="009C5DB9"/>
    <w:rsid w:val="009F4D19"/>
    <w:rsid w:val="00A31A7B"/>
    <w:rsid w:val="00A74465"/>
    <w:rsid w:val="00A95EDF"/>
    <w:rsid w:val="00AD1C28"/>
    <w:rsid w:val="00AD3124"/>
    <w:rsid w:val="00AE234B"/>
    <w:rsid w:val="00AF3DE5"/>
    <w:rsid w:val="00B70046"/>
    <w:rsid w:val="00BF0B55"/>
    <w:rsid w:val="00CB500D"/>
    <w:rsid w:val="00CD25CB"/>
    <w:rsid w:val="00CE74F7"/>
    <w:rsid w:val="00D136FE"/>
    <w:rsid w:val="00DC5525"/>
    <w:rsid w:val="00E06A4C"/>
    <w:rsid w:val="00E85775"/>
    <w:rsid w:val="00E94CF1"/>
    <w:rsid w:val="00E97AA1"/>
    <w:rsid w:val="00ED40C3"/>
    <w:rsid w:val="00F35A1B"/>
    <w:rsid w:val="00F37EC6"/>
    <w:rsid w:val="00F52359"/>
    <w:rsid w:val="00F52F9C"/>
    <w:rsid w:val="00F67A0A"/>
    <w:rsid w:val="00F846CC"/>
    <w:rsid w:val="00FE272E"/>
    <w:rsid w:val="00FE689E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F79C"/>
  <w15:chartTrackingRefBased/>
  <w15:docId w15:val="{4B2DAD00-235B-4ECE-B2E0-8622246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D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1C28"/>
  </w:style>
  <w:style w:type="paragraph" w:styleId="a7">
    <w:name w:val="footer"/>
    <w:basedOn w:val="a"/>
    <w:link w:val="a8"/>
    <w:uiPriority w:val="99"/>
    <w:unhideWhenUsed/>
    <w:rsid w:val="00AD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14247</Words>
  <Characters>8121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Кіцуне</cp:lastModifiedBy>
  <cp:revision>50</cp:revision>
  <dcterms:created xsi:type="dcterms:W3CDTF">2017-09-26T06:37:00Z</dcterms:created>
  <dcterms:modified xsi:type="dcterms:W3CDTF">2023-04-06T07:27:00Z</dcterms:modified>
</cp:coreProperties>
</file>